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2B210" w14:textId="77777777" w:rsidR="00F26C4C" w:rsidRDefault="00F26C4C" w:rsidP="00EB627E">
      <w:pPr>
        <w:spacing w:line="360" w:lineRule="auto"/>
        <w:rPr>
          <w:rFonts w:ascii="Century Gothic" w:hAnsi="Century Gothic"/>
          <w:b/>
          <w:bCs/>
          <w:color w:val="425363"/>
          <w:sz w:val="20"/>
          <w:szCs w:val="20"/>
          <w:lang w:val="pt-PT"/>
        </w:rPr>
      </w:pPr>
    </w:p>
    <w:p w14:paraId="5AA25403" w14:textId="7F1C4869" w:rsidR="00F93EEE" w:rsidRDefault="000B7880" w:rsidP="000B7880">
      <w:pPr>
        <w:spacing w:line="360" w:lineRule="auto"/>
        <w:jc w:val="center"/>
        <w:rPr>
          <w:rFonts w:ascii="Century Gothic" w:hAnsi="Century Gothic"/>
          <w:b/>
          <w:bCs/>
          <w:color w:val="425363"/>
          <w:sz w:val="20"/>
          <w:szCs w:val="20"/>
          <w:lang w:val="pt-PT"/>
        </w:rPr>
      </w:pPr>
      <w:r w:rsidRPr="000B7880">
        <w:rPr>
          <w:rFonts w:ascii="Century Gothic" w:hAnsi="Century Gothic"/>
          <w:b/>
          <w:bCs/>
          <w:color w:val="425363"/>
          <w:sz w:val="20"/>
          <w:szCs w:val="20"/>
          <w:lang w:val="pt-PT"/>
        </w:rPr>
        <w:t>DIRECTIVA “STOP THE CLOCK”: ¿QUÉ CAMBIA PARA LAS EMPRESAS PORTUGUESAS?</w:t>
      </w:r>
    </w:p>
    <w:p w14:paraId="1CB29465" w14:textId="77777777" w:rsidR="000B7880" w:rsidRDefault="000B7880" w:rsidP="00EB627E">
      <w:pPr>
        <w:spacing w:line="360" w:lineRule="auto"/>
        <w:rPr>
          <w:rFonts w:ascii="Segoe UI Emoji" w:hAnsi="Segoe UI Emoji" w:cs="Segoe UI Emoji"/>
          <w:b/>
          <w:bCs/>
          <w:color w:val="425363"/>
          <w:sz w:val="20"/>
          <w:szCs w:val="20"/>
          <w:lang w:val="pt-PT"/>
        </w:rPr>
      </w:pPr>
    </w:p>
    <w:p w14:paraId="136BDE01" w14:textId="77C65F64" w:rsidR="00057B5F" w:rsidRPr="00057B5F" w:rsidRDefault="00057B5F" w:rsidP="00057B5F">
      <w:pPr>
        <w:spacing w:line="360" w:lineRule="auto"/>
        <w:ind w:firstLine="720"/>
        <w:jc w:val="both"/>
        <w:rPr>
          <w:rFonts w:ascii="Century Gothic" w:hAnsi="Century Gothic"/>
          <w:color w:val="425363"/>
          <w:sz w:val="20"/>
          <w:szCs w:val="20"/>
          <w:lang w:val="es-ES"/>
        </w:rPr>
      </w:pPr>
      <w:r w:rsidRPr="00057B5F">
        <w:rPr>
          <w:rFonts w:ascii="Century Gothic" w:hAnsi="Century Gothic"/>
          <w:color w:val="425363"/>
          <w:sz w:val="20"/>
          <w:szCs w:val="20"/>
          <w:lang w:val="es-ES"/>
        </w:rPr>
        <w:t>La Directiva (UE) 2025/794, conocida como “</w:t>
      </w:r>
      <w:r w:rsidRPr="00057B5F">
        <w:rPr>
          <w:rFonts w:ascii="Century Gothic" w:hAnsi="Century Gothic"/>
          <w:i/>
          <w:iCs/>
          <w:color w:val="425363"/>
          <w:sz w:val="20"/>
          <w:szCs w:val="20"/>
          <w:lang w:val="es-ES"/>
        </w:rPr>
        <w:t xml:space="preserve">Stop the </w:t>
      </w:r>
      <w:proofErr w:type="spellStart"/>
      <w:r w:rsidRPr="00057B5F">
        <w:rPr>
          <w:rFonts w:ascii="Century Gothic" w:hAnsi="Century Gothic"/>
          <w:i/>
          <w:iCs/>
          <w:color w:val="425363"/>
          <w:sz w:val="20"/>
          <w:szCs w:val="20"/>
          <w:lang w:val="es-ES"/>
        </w:rPr>
        <w:t>Clock</w:t>
      </w:r>
      <w:proofErr w:type="spellEnd"/>
      <w:r w:rsidRPr="00057B5F">
        <w:rPr>
          <w:rFonts w:ascii="Century Gothic" w:hAnsi="Century Gothic"/>
          <w:color w:val="425363"/>
          <w:sz w:val="20"/>
          <w:szCs w:val="20"/>
          <w:lang w:val="es-ES"/>
        </w:rPr>
        <w:t>”, fue publicada el 16 de abril de 2025 y forma parte del primer paquete de simplificación legislativa de la Unión Europea en materia de sostenibilidad, denominado Paquete Ómnibus I. Este paquete fue diseñado con el objetivo de reducir cargas regulatorias y reequilibrar los calendarios de implementación de la Directiva sobre Información Corporativa en materia de Sostenibilidad (“CSRD”) y de la Directiva sobre Diligencia Debida en Sostenibilidad Corporativa (“CSDDD”), ambas ya aprobadas con anterioridad.</w:t>
      </w:r>
    </w:p>
    <w:p w14:paraId="2E9A821B" w14:textId="2C307F64" w:rsidR="00085E18" w:rsidRPr="00057B5F" w:rsidRDefault="00057B5F" w:rsidP="00057B5F">
      <w:pPr>
        <w:spacing w:line="360" w:lineRule="auto"/>
        <w:ind w:firstLine="720"/>
        <w:jc w:val="both"/>
        <w:rPr>
          <w:rFonts w:ascii="Century Gothic" w:hAnsi="Century Gothic"/>
          <w:color w:val="425363"/>
          <w:sz w:val="20"/>
          <w:szCs w:val="20"/>
          <w:lang w:val="es-ES"/>
        </w:rPr>
      </w:pPr>
      <w:r w:rsidRPr="00057B5F">
        <w:rPr>
          <w:rFonts w:ascii="Century Gothic" w:hAnsi="Century Gothic"/>
          <w:color w:val="425363"/>
          <w:sz w:val="20"/>
          <w:szCs w:val="20"/>
          <w:lang w:val="es-ES"/>
        </w:rPr>
        <w:t>Así, la Directiva “</w:t>
      </w:r>
      <w:r w:rsidRPr="00057B5F">
        <w:rPr>
          <w:rFonts w:ascii="Century Gothic" w:hAnsi="Century Gothic"/>
          <w:i/>
          <w:iCs/>
          <w:color w:val="425363"/>
          <w:sz w:val="20"/>
          <w:szCs w:val="20"/>
          <w:lang w:val="es-ES"/>
        </w:rPr>
        <w:t xml:space="preserve">Stop the </w:t>
      </w:r>
      <w:proofErr w:type="spellStart"/>
      <w:r w:rsidRPr="00057B5F">
        <w:rPr>
          <w:rFonts w:ascii="Century Gothic" w:hAnsi="Century Gothic"/>
          <w:i/>
          <w:iCs/>
          <w:color w:val="425363"/>
          <w:sz w:val="20"/>
          <w:szCs w:val="20"/>
          <w:lang w:val="es-ES"/>
        </w:rPr>
        <w:t>Clock</w:t>
      </w:r>
      <w:proofErr w:type="spellEnd"/>
      <w:r w:rsidRPr="00057B5F">
        <w:rPr>
          <w:rFonts w:ascii="Century Gothic" w:hAnsi="Century Gothic"/>
          <w:color w:val="425363"/>
          <w:sz w:val="20"/>
          <w:szCs w:val="20"/>
          <w:lang w:val="es-ES"/>
        </w:rPr>
        <w:t>” aplaza y modifica los plazos y obligaciones de reporte en materia de sostenibilidad previamente establecidos, lo que tiene un impacto directo en las operaciones de las empresas</w:t>
      </w:r>
      <w:r w:rsidR="00CC5ABE" w:rsidRPr="00057B5F">
        <w:rPr>
          <w:rFonts w:ascii="Century Gothic" w:hAnsi="Century Gothic"/>
          <w:color w:val="425363"/>
          <w:sz w:val="20"/>
          <w:szCs w:val="20"/>
          <w:lang w:val="es-ES"/>
        </w:rPr>
        <w:t>.</w:t>
      </w:r>
    </w:p>
    <w:p w14:paraId="0503B144" w14:textId="77777777" w:rsidR="00085E18" w:rsidRPr="00057B5F" w:rsidRDefault="00085E18" w:rsidP="00656844">
      <w:pPr>
        <w:spacing w:line="360" w:lineRule="auto"/>
        <w:jc w:val="both"/>
        <w:rPr>
          <w:rFonts w:ascii="Century Gothic" w:hAnsi="Century Gothic"/>
          <w:color w:val="425363"/>
          <w:sz w:val="20"/>
          <w:szCs w:val="20"/>
          <w:lang w:val="es-ES"/>
        </w:rPr>
      </w:pPr>
    </w:p>
    <w:p w14:paraId="2B83A000" w14:textId="2B4FC312" w:rsidR="00F64CF3" w:rsidRDefault="00057B5F" w:rsidP="00656844">
      <w:pPr>
        <w:spacing w:line="360" w:lineRule="auto"/>
        <w:jc w:val="both"/>
        <w:rPr>
          <w:rFonts w:ascii="Century Gothic" w:hAnsi="Century Gothic"/>
          <w:b/>
          <w:bCs/>
          <w:color w:val="425363"/>
          <w:sz w:val="20"/>
          <w:szCs w:val="20"/>
          <w:lang w:val="pt-PT"/>
        </w:rPr>
      </w:pPr>
      <w:r w:rsidRPr="00057B5F">
        <w:rPr>
          <w:rFonts w:ascii="Century Gothic" w:hAnsi="Century Gothic"/>
          <w:b/>
          <w:bCs/>
          <w:color w:val="425363"/>
          <w:sz w:val="20"/>
          <w:szCs w:val="20"/>
          <w:lang w:val="pt-PT"/>
        </w:rPr>
        <w:t>PRINCIPALES MODIFICACIONES</w:t>
      </w:r>
      <w:r w:rsidR="00CC5ABE">
        <w:rPr>
          <w:rFonts w:ascii="Century Gothic" w:hAnsi="Century Gothic"/>
          <w:b/>
          <w:bCs/>
          <w:color w:val="425363"/>
          <w:sz w:val="20"/>
          <w:szCs w:val="20"/>
          <w:lang w:val="pt-PT"/>
        </w:rPr>
        <w:t>:</w:t>
      </w:r>
    </w:p>
    <w:p w14:paraId="739DE707" w14:textId="28F60E95" w:rsidR="00F64CF3" w:rsidRPr="00966999" w:rsidRDefault="00966999" w:rsidP="00656844">
      <w:pPr>
        <w:pStyle w:val="PargrafodaLista"/>
        <w:numPr>
          <w:ilvl w:val="0"/>
          <w:numId w:val="33"/>
        </w:numPr>
        <w:spacing w:line="360" w:lineRule="auto"/>
        <w:ind w:left="426"/>
        <w:jc w:val="both"/>
        <w:rPr>
          <w:rFonts w:ascii="Century Gothic" w:hAnsi="Century Gothic"/>
          <w:b/>
          <w:bCs/>
          <w:color w:val="425363"/>
          <w:sz w:val="20"/>
          <w:szCs w:val="20"/>
          <w:lang w:val="es-ES"/>
        </w:rPr>
      </w:pPr>
      <w:r w:rsidRPr="00966999">
        <w:rPr>
          <w:rFonts w:ascii="Century Gothic" w:hAnsi="Century Gothic"/>
          <w:b/>
          <w:bCs/>
          <w:color w:val="425363"/>
          <w:sz w:val="20"/>
          <w:szCs w:val="20"/>
          <w:lang w:val="es-ES"/>
        </w:rPr>
        <w:t>Aplazamiento de los plazos de reporte</w:t>
      </w:r>
    </w:p>
    <w:p w14:paraId="0BB4FF3E" w14:textId="2DE0DD2B" w:rsidR="00F64CF3" w:rsidRPr="00966999" w:rsidRDefault="00966999" w:rsidP="00656844">
      <w:pPr>
        <w:numPr>
          <w:ilvl w:val="0"/>
          <w:numId w:val="30"/>
        </w:numPr>
        <w:spacing w:line="360" w:lineRule="auto"/>
        <w:jc w:val="both"/>
        <w:rPr>
          <w:rFonts w:ascii="Century Gothic" w:hAnsi="Century Gothic"/>
          <w:color w:val="425363"/>
          <w:sz w:val="20"/>
          <w:szCs w:val="20"/>
          <w:lang w:val="es-ES"/>
        </w:rPr>
      </w:pPr>
      <w:r w:rsidRPr="00966999">
        <w:rPr>
          <w:rFonts w:ascii="Century Gothic" w:hAnsi="Century Gothic"/>
          <w:color w:val="425363"/>
          <w:sz w:val="20"/>
          <w:szCs w:val="20"/>
          <w:lang w:val="es-ES"/>
        </w:rPr>
        <w:t xml:space="preserve">Las grandes empresas deberán presentar su primer informe en </w:t>
      </w:r>
      <w:r w:rsidRPr="00966999">
        <w:rPr>
          <w:rFonts w:ascii="Century Gothic" w:hAnsi="Century Gothic"/>
          <w:b/>
          <w:bCs/>
          <w:color w:val="425363"/>
          <w:sz w:val="20"/>
          <w:szCs w:val="20"/>
          <w:lang w:val="es-ES"/>
        </w:rPr>
        <w:t>2028</w:t>
      </w:r>
      <w:r w:rsidRPr="00966999">
        <w:rPr>
          <w:rFonts w:ascii="Century Gothic" w:hAnsi="Century Gothic"/>
          <w:color w:val="425363"/>
          <w:sz w:val="20"/>
          <w:szCs w:val="20"/>
          <w:lang w:val="es-ES"/>
        </w:rPr>
        <w:t xml:space="preserve">, correspondiente al ejercicio de </w:t>
      </w:r>
      <w:r w:rsidRPr="00966999">
        <w:rPr>
          <w:rFonts w:ascii="Century Gothic" w:hAnsi="Century Gothic"/>
          <w:b/>
          <w:bCs/>
          <w:color w:val="425363"/>
          <w:sz w:val="20"/>
          <w:szCs w:val="20"/>
          <w:lang w:val="es-ES"/>
        </w:rPr>
        <w:t>2027</w:t>
      </w:r>
      <w:r w:rsidR="00656844" w:rsidRPr="00966999">
        <w:rPr>
          <w:rFonts w:ascii="Century Gothic" w:hAnsi="Century Gothic"/>
          <w:color w:val="425363"/>
          <w:sz w:val="20"/>
          <w:szCs w:val="20"/>
          <w:lang w:val="es-ES"/>
        </w:rPr>
        <w:t>;</w:t>
      </w:r>
    </w:p>
    <w:p w14:paraId="39B09F34" w14:textId="11F609E1" w:rsidR="00F64CF3" w:rsidRPr="00966999" w:rsidRDefault="00966999" w:rsidP="00656844">
      <w:pPr>
        <w:numPr>
          <w:ilvl w:val="0"/>
          <w:numId w:val="30"/>
        </w:numPr>
        <w:spacing w:line="360" w:lineRule="auto"/>
        <w:jc w:val="both"/>
        <w:rPr>
          <w:rFonts w:ascii="Century Gothic" w:hAnsi="Century Gothic"/>
          <w:color w:val="425363"/>
          <w:sz w:val="20"/>
          <w:szCs w:val="20"/>
          <w:lang w:val="es-ES"/>
        </w:rPr>
      </w:pPr>
      <w:r w:rsidRPr="00966999">
        <w:rPr>
          <w:rFonts w:ascii="Century Gothic" w:hAnsi="Century Gothic"/>
          <w:color w:val="425363"/>
          <w:sz w:val="20"/>
          <w:szCs w:val="20"/>
          <w:lang w:val="es-ES"/>
        </w:rPr>
        <w:t>Las pequeñas y medianas empresas cotizadas (</w:t>
      </w:r>
      <w:r w:rsidRPr="00966999">
        <w:rPr>
          <w:rFonts w:ascii="Century Gothic" w:hAnsi="Century Gothic"/>
          <w:b/>
          <w:bCs/>
          <w:color w:val="425363"/>
          <w:sz w:val="20"/>
          <w:szCs w:val="20"/>
          <w:lang w:val="es-ES"/>
        </w:rPr>
        <w:t>PYME cotizadas</w:t>
      </w:r>
      <w:r w:rsidRPr="00966999">
        <w:rPr>
          <w:rFonts w:ascii="Century Gothic" w:hAnsi="Century Gothic"/>
          <w:color w:val="425363"/>
          <w:sz w:val="20"/>
          <w:szCs w:val="20"/>
          <w:lang w:val="es-ES"/>
        </w:rPr>
        <w:t xml:space="preserve">) dispondrán hasta </w:t>
      </w:r>
      <w:r w:rsidRPr="00966999">
        <w:rPr>
          <w:rFonts w:ascii="Century Gothic" w:hAnsi="Century Gothic"/>
          <w:b/>
          <w:bCs/>
          <w:color w:val="425363"/>
          <w:sz w:val="20"/>
          <w:szCs w:val="20"/>
          <w:lang w:val="es-ES"/>
        </w:rPr>
        <w:t>2029</w:t>
      </w:r>
      <w:r w:rsidRPr="00966999">
        <w:rPr>
          <w:rFonts w:ascii="Century Gothic" w:hAnsi="Century Gothic"/>
          <w:color w:val="425363"/>
          <w:sz w:val="20"/>
          <w:szCs w:val="20"/>
          <w:lang w:val="es-ES"/>
        </w:rPr>
        <w:t xml:space="preserve"> para presentar su primer informe, correspondiente al ejercicio de </w:t>
      </w:r>
      <w:r w:rsidRPr="00966999">
        <w:rPr>
          <w:rFonts w:ascii="Century Gothic" w:hAnsi="Century Gothic"/>
          <w:b/>
          <w:bCs/>
          <w:color w:val="425363"/>
          <w:sz w:val="20"/>
          <w:szCs w:val="20"/>
          <w:lang w:val="es-ES"/>
        </w:rPr>
        <w:t>2028</w:t>
      </w:r>
      <w:r w:rsidR="00F64CF3" w:rsidRPr="00966999">
        <w:rPr>
          <w:rFonts w:ascii="Century Gothic" w:hAnsi="Century Gothic"/>
          <w:color w:val="425363"/>
          <w:sz w:val="20"/>
          <w:szCs w:val="20"/>
          <w:lang w:val="es-ES"/>
        </w:rPr>
        <w:t>.</w:t>
      </w:r>
    </w:p>
    <w:p w14:paraId="4EF8DE31" w14:textId="77777777" w:rsidR="00656844" w:rsidRPr="00966999" w:rsidRDefault="00656844" w:rsidP="00656844">
      <w:pPr>
        <w:spacing w:line="360" w:lineRule="auto"/>
        <w:ind w:left="720"/>
        <w:jc w:val="both"/>
        <w:rPr>
          <w:rFonts w:ascii="Century Gothic" w:hAnsi="Century Gothic"/>
          <w:color w:val="425363"/>
          <w:sz w:val="20"/>
          <w:szCs w:val="20"/>
          <w:lang w:val="es-ES"/>
        </w:rPr>
      </w:pPr>
    </w:p>
    <w:p w14:paraId="47D851C7" w14:textId="59505062" w:rsidR="00F64CF3" w:rsidRPr="001A015F" w:rsidRDefault="001A015F" w:rsidP="00656844">
      <w:pPr>
        <w:pStyle w:val="PargrafodaLista"/>
        <w:numPr>
          <w:ilvl w:val="0"/>
          <w:numId w:val="33"/>
        </w:numPr>
        <w:spacing w:line="360" w:lineRule="auto"/>
        <w:ind w:left="426"/>
        <w:jc w:val="both"/>
        <w:rPr>
          <w:rFonts w:ascii="Century Gothic" w:hAnsi="Century Gothic"/>
          <w:b/>
          <w:bCs/>
          <w:color w:val="425363"/>
          <w:sz w:val="20"/>
          <w:szCs w:val="20"/>
          <w:lang w:val="es-ES"/>
        </w:rPr>
      </w:pPr>
      <w:r w:rsidRPr="001A015F">
        <w:rPr>
          <w:rFonts w:ascii="Century Gothic" w:hAnsi="Century Gothic"/>
          <w:b/>
          <w:bCs/>
          <w:color w:val="425363"/>
          <w:sz w:val="20"/>
          <w:szCs w:val="20"/>
          <w:lang w:val="es-ES"/>
        </w:rPr>
        <w:t>Reducción del número de empresas afectadas</w:t>
      </w:r>
    </w:p>
    <w:p w14:paraId="50C6087F" w14:textId="539C6AEF" w:rsidR="00F64CF3" w:rsidRPr="001A015F" w:rsidRDefault="001A015F" w:rsidP="00656844">
      <w:pPr>
        <w:numPr>
          <w:ilvl w:val="0"/>
          <w:numId w:val="31"/>
        </w:numPr>
        <w:spacing w:line="360" w:lineRule="auto"/>
        <w:jc w:val="both"/>
        <w:rPr>
          <w:rFonts w:ascii="Century Gothic" w:hAnsi="Century Gothic"/>
          <w:color w:val="425363"/>
          <w:sz w:val="20"/>
          <w:szCs w:val="20"/>
          <w:lang w:val="es-ES"/>
        </w:rPr>
      </w:pPr>
      <w:r w:rsidRPr="001A015F">
        <w:rPr>
          <w:rFonts w:ascii="Century Gothic" w:hAnsi="Century Gothic"/>
          <w:color w:val="425363"/>
          <w:sz w:val="20"/>
          <w:szCs w:val="20"/>
          <w:lang w:val="es-ES"/>
        </w:rPr>
        <w:t>El nuevo umbral se aplicará a empresas que</w:t>
      </w:r>
      <w:r w:rsidR="00F64CF3" w:rsidRPr="001A015F">
        <w:rPr>
          <w:rFonts w:ascii="Century Gothic" w:hAnsi="Century Gothic"/>
          <w:color w:val="425363"/>
          <w:sz w:val="20"/>
          <w:szCs w:val="20"/>
          <w:lang w:val="es-ES"/>
        </w:rPr>
        <w:t>:</w:t>
      </w:r>
    </w:p>
    <w:p w14:paraId="6A4C9DF7" w14:textId="1854EC1E" w:rsidR="001A015F" w:rsidRPr="001A015F" w:rsidRDefault="001A015F" w:rsidP="00656844">
      <w:pPr>
        <w:numPr>
          <w:ilvl w:val="1"/>
          <w:numId w:val="31"/>
        </w:numPr>
        <w:tabs>
          <w:tab w:val="clear" w:pos="1440"/>
        </w:tabs>
        <w:spacing w:line="360" w:lineRule="auto"/>
        <w:ind w:left="1134"/>
        <w:jc w:val="both"/>
        <w:rPr>
          <w:rFonts w:ascii="Century Gothic" w:hAnsi="Century Gothic"/>
          <w:color w:val="425363"/>
          <w:sz w:val="20"/>
          <w:szCs w:val="20"/>
          <w:lang w:val="es-ES"/>
        </w:rPr>
      </w:pPr>
      <w:r w:rsidRPr="001A015F">
        <w:rPr>
          <w:rFonts w:ascii="Century Gothic" w:hAnsi="Century Gothic"/>
          <w:color w:val="425363"/>
          <w:sz w:val="20"/>
          <w:szCs w:val="20"/>
          <w:lang w:val="es-ES"/>
        </w:rPr>
        <w:t>T</w:t>
      </w:r>
      <w:r w:rsidRPr="001A015F">
        <w:rPr>
          <w:rFonts w:ascii="Century Gothic" w:hAnsi="Century Gothic"/>
          <w:color w:val="425363"/>
          <w:sz w:val="20"/>
          <w:szCs w:val="20"/>
          <w:lang w:val="es-ES"/>
        </w:rPr>
        <w:t>engan más de 1.000 trabajadores, y</w:t>
      </w:r>
    </w:p>
    <w:p w14:paraId="4B3A8ED7" w14:textId="70068936" w:rsidR="00F64CF3" w:rsidRPr="001A015F" w:rsidRDefault="001A015F" w:rsidP="00656844">
      <w:pPr>
        <w:numPr>
          <w:ilvl w:val="1"/>
          <w:numId w:val="31"/>
        </w:numPr>
        <w:tabs>
          <w:tab w:val="clear" w:pos="1440"/>
        </w:tabs>
        <w:spacing w:line="360" w:lineRule="auto"/>
        <w:ind w:left="1134"/>
        <w:jc w:val="both"/>
        <w:rPr>
          <w:rFonts w:ascii="Century Gothic" w:hAnsi="Century Gothic"/>
          <w:color w:val="425363"/>
          <w:sz w:val="20"/>
          <w:szCs w:val="20"/>
          <w:lang w:val="es-ES"/>
        </w:rPr>
      </w:pPr>
      <w:r w:rsidRPr="001A015F">
        <w:rPr>
          <w:rFonts w:ascii="Century Gothic" w:hAnsi="Century Gothic"/>
          <w:color w:val="425363"/>
          <w:sz w:val="20"/>
          <w:szCs w:val="20"/>
          <w:lang w:val="es-ES"/>
        </w:rPr>
        <w:t xml:space="preserve">Presenten una facturación superior a </w:t>
      </w:r>
      <w:r>
        <w:rPr>
          <w:rFonts w:ascii="Century Gothic" w:hAnsi="Century Gothic"/>
          <w:color w:val="425363"/>
          <w:sz w:val="20"/>
          <w:szCs w:val="20"/>
          <w:lang w:val="es-ES"/>
        </w:rPr>
        <w:t xml:space="preserve">€ </w:t>
      </w:r>
      <w:r w:rsidRPr="001A015F">
        <w:rPr>
          <w:rFonts w:ascii="Century Gothic" w:hAnsi="Century Gothic"/>
          <w:color w:val="425363"/>
          <w:sz w:val="20"/>
          <w:szCs w:val="20"/>
          <w:lang w:val="es-ES"/>
        </w:rPr>
        <w:t xml:space="preserve">50.000.000 o un balance superior a </w:t>
      </w:r>
      <w:r>
        <w:rPr>
          <w:rFonts w:ascii="Century Gothic" w:hAnsi="Century Gothic"/>
          <w:color w:val="425363"/>
          <w:sz w:val="20"/>
          <w:szCs w:val="20"/>
          <w:lang w:val="es-ES"/>
        </w:rPr>
        <w:t xml:space="preserve">€ </w:t>
      </w:r>
      <w:r w:rsidRPr="001A015F">
        <w:rPr>
          <w:rFonts w:ascii="Century Gothic" w:hAnsi="Century Gothic"/>
          <w:color w:val="425363"/>
          <w:sz w:val="20"/>
          <w:szCs w:val="20"/>
          <w:lang w:val="es-ES"/>
        </w:rPr>
        <w:t>25.000.000</w:t>
      </w:r>
      <w:r w:rsidR="00F64CF3" w:rsidRPr="001A015F">
        <w:rPr>
          <w:rFonts w:ascii="Century Gothic" w:hAnsi="Century Gothic"/>
          <w:color w:val="425363"/>
          <w:sz w:val="20"/>
          <w:szCs w:val="20"/>
          <w:lang w:val="es-ES"/>
        </w:rPr>
        <w:t>.</w:t>
      </w:r>
    </w:p>
    <w:p w14:paraId="77BF0680" w14:textId="4E6AB58B" w:rsidR="00B93FC2" w:rsidRPr="00C30988" w:rsidRDefault="00C30988" w:rsidP="00C30988">
      <w:pPr>
        <w:numPr>
          <w:ilvl w:val="0"/>
          <w:numId w:val="31"/>
        </w:numPr>
        <w:spacing w:line="360" w:lineRule="auto"/>
        <w:jc w:val="both"/>
        <w:rPr>
          <w:rFonts w:ascii="Century Gothic" w:hAnsi="Century Gothic"/>
          <w:color w:val="425363"/>
          <w:sz w:val="20"/>
          <w:szCs w:val="20"/>
          <w:lang w:val="es-ES"/>
        </w:rPr>
      </w:pPr>
      <w:r w:rsidRPr="00C30988">
        <w:rPr>
          <w:rFonts w:ascii="Century Gothic" w:hAnsi="Century Gothic"/>
          <w:color w:val="425363"/>
          <w:sz w:val="20"/>
          <w:szCs w:val="20"/>
          <w:lang w:val="es-ES"/>
        </w:rPr>
        <w:t>Esta revisión excluye aproximadamente al 80 % de las empresas que anteriormente estaban comprendidas, focalizando el esfuerzo regulatorio en los operadores de mayor dimensión y capacidad</w:t>
      </w:r>
      <w:r w:rsidR="00F64CF3" w:rsidRPr="00C30988">
        <w:rPr>
          <w:rFonts w:ascii="Century Gothic" w:hAnsi="Century Gothic"/>
          <w:color w:val="425363"/>
          <w:sz w:val="20"/>
          <w:szCs w:val="20"/>
          <w:lang w:val="es-ES"/>
        </w:rPr>
        <w:t>.</w:t>
      </w:r>
    </w:p>
    <w:p w14:paraId="012DBE7A" w14:textId="77777777" w:rsidR="00C30988" w:rsidRDefault="00C30988" w:rsidP="00C30988">
      <w:pPr>
        <w:spacing w:line="360" w:lineRule="auto"/>
        <w:jc w:val="both"/>
        <w:rPr>
          <w:rFonts w:ascii="Century Gothic" w:hAnsi="Century Gothic"/>
          <w:color w:val="425363"/>
          <w:sz w:val="20"/>
          <w:szCs w:val="20"/>
          <w:lang w:val="pt-PT"/>
        </w:rPr>
      </w:pPr>
    </w:p>
    <w:p w14:paraId="2A247121" w14:textId="77777777" w:rsidR="00C30988" w:rsidRDefault="00C30988" w:rsidP="00C30988">
      <w:pPr>
        <w:pStyle w:val="PargrafodaLista"/>
        <w:numPr>
          <w:ilvl w:val="0"/>
          <w:numId w:val="33"/>
        </w:numPr>
        <w:spacing w:line="360" w:lineRule="auto"/>
        <w:jc w:val="both"/>
        <w:rPr>
          <w:rFonts w:ascii="Century Gothic" w:hAnsi="Century Gothic"/>
          <w:b/>
          <w:bCs/>
          <w:color w:val="425363"/>
          <w:sz w:val="20"/>
          <w:szCs w:val="20"/>
          <w:lang w:val="es-ES"/>
        </w:rPr>
      </w:pPr>
      <w:r w:rsidRPr="00C30988">
        <w:rPr>
          <w:rFonts w:ascii="Century Gothic" w:hAnsi="Century Gothic"/>
          <w:b/>
          <w:bCs/>
          <w:color w:val="425363"/>
          <w:sz w:val="20"/>
          <w:szCs w:val="20"/>
          <w:lang w:val="es-ES"/>
        </w:rPr>
        <w:t>Simplificación de las obligaciones</w:t>
      </w:r>
    </w:p>
    <w:p w14:paraId="7072B735" w14:textId="77777777" w:rsidR="00C30988" w:rsidRPr="00C30988" w:rsidRDefault="00C30988" w:rsidP="00C30988">
      <w:pPr>
        <w:numPr>
          <w:ilvl w:val="0"/>
          <w:numId w:val="31"/>
        </w:numPr>
        <w:spacing w:line="360" w:lineRule="auto"/>
        <w:jc w:val="both"/>
        <w:rPr>
          <w:rFonts w:ascii="Century Gothic" w:hAnsi="Century Gothic"/>
          <w:b/>
          <w:bCs/>
          <w:color w:val="425363"/>
          <w:sz w:val="20"/>
          <w:szCs w:val="20"/>
          <w:lang w:val="es-ES"/>
        </w:rPr>
      </w:pPr>
      <w:r w:rsidRPr="00C30988">
        <w:rPr>
          <w:rFonts w:ascii="Century Gothic" w:hAnsi="Century Gothic"/>
          <w:color w:val="425363"/>
          <w:sz w:val="20"/>
          <w:szCs w:val="20"/>
          <w:lang w:val="es-ES"/>
        </w:rPr>
        <w:t>Las normas ESRS (Normas Europeas de Información sobre Sostenibilidad) se reducen y reestructuran, con el objetivo de:</w:t>
      </w:r>
    </w:p>
    <w:p w14:paraId="7CAC31AD" w14:textId="77777777" w:rsidR="00C30988" w:rsidRPr="00C30988" w:rsidRDefault="00C30988" w:rsidP="00C30988">
      <w:pPr>
        <w:numPr>
          <w:ilvl w:val="1"/>
          <w:numId w:val="31"/>
        </w:numPr>
        <w:tabs>
          <w:tab w:val="clear" w:pos="1440"/>
        </w:tabs>
        <w:spacing w:line="360" w:lineRule="auto"/>
        <w:ind w:left="1134"/>
        <w:jc w:val="both"/>
        <w:rPr>
          <w:rFonts w:ascii="Century Gothic" w:hAnsi="Century Gothic"/>
          <w:b/>
          <w:bCs/>
          <w:color w:val="425363"/>
          <w:sz w:val="20"/>
          <w:szCs w:val="20"/>
          <w:lang w:val="es-ES"/>
        </w:rPr>
      </w:pPr>
      <w:r w:rsidRPr="00C30988">
        <w:rPr>
          <w:rFonts w:ascii="Century Gothic" w:hAnsi="Century Gothic"/>
          <w:color w:val="425363"/>
          <w:sz w:val="20"/>
          <w:szCs w:val="20"/>
          <w:lang w:val="es-ES"/>
        </w:rPr>
        <w:t>Eliminar los informes sectoriales obligatorios</w:t>
      </w:r>
      <w:r>
        <w:rPr>
          <w:rFonts w:ascii="Century Gothic" w:hAnsi="Century Gothic"/>
          <w:color w:val="425363"/>
          <w:sz w:val="20"/>
          <w:szCs w:val="20"/>
          <w:lang w:val="es-ES"/>
        </w:rPr>
        <w:t>;</w:t>
      </w:r>
    </w:p>
    <w:p w14:paraId="4E243B5D" w14:textId="77777777" w:rsidR="00C30988" w:rsidRPr="00C30988" w:rsidRDefault="00C30988" w:rsidP="00C30988">
      <w:pPr>
        <w:numPr>
          <w:ilvl w:val="1"/>
          <w:numId w:val="31"/>
        </w:numPr>
        <w:tabs>
          <w:tab w:val="clear" w:pos="1440"/>
        </w:tabs>
        <w:spacing w:line="360" w:lineRule="auto"/>
        <w:ind w:left="1134"/>
        <w:jc w:val="both"/>
        <w:rPr>
          <w:rFonts w:ascii="Century Gothic" w:hAnsi="Century Gothic"/>
          <w:b/>
          <w:bCs/>
          <w:color w:val="425363"/>
          <w:sz w:val="20"/>
          <w:szCs w:val="20"/>
          <w:lang w:val="es-ES"/>
        </w:rPr>
      </w:pPr>
      <w:r>
        <w:rPr>
          <w:rFonts w:ascii="Century Gothic" w:hAnsi="Century Gothic"/>
          <w:color w:val="425363"/>
          <w:sz w:val="20"/>
          <w:szCs w:val="20"/>
          <w:lang w:val="es-ES"/>
        </w:rPr>
        <w:lastRenderedPageBreak/>
        <w:t>R</w:t>
      </w:r>
      <w:r w:rsidRPr="00C30988">
        <w:rPr>
          <w:rFonts w:ascii="Century Gothic" w:hAnsi="Century Gothic"/>
          <w:color w:val="425363"/>
          <w:sz w:val="20"/>
          <w:szCs w:val="20"/>
          <w:lang w:val="es-ES"/>
        </w:rPr>
        <w:t>educir la cantidad de datos exigidos;</w:t>
      </w:r>
    </w:p>
    <w:p w14:paraId="3097B683" w14:textId="334DE3AD" w:rsidR="00C30988" w:rsidRPr="00C30988" w:rsidRDefault="00C30988" w:rsidP="00C30988">
      <w:pPr>
        <w:numPr>
          <w:ilvl w:val="1"/>
          <w:numId w:val="31"/>
        </w:numPr>
        <w:tabs>
          <w:tab w:val="clear" w:pos="1440"/>
        </w:tabs>
        <w:spacing w:line="360" w:lineRule="auto"/>
        <w:ind w:left="1134"/>
        <w:jc w:val="both"/>
        <w:rPr>
          <w:rFonts w:ascii="Century Gothic" w:hAnsi="Century Gothic"/>
          <w:b/>
          <w:bCs/>
          <w:color w:val="425363"/>
          <w:sz w:val="20"/>
          <w:szCs w:val="20"/>
          <w:lang w:val="es-ES"/>
        </w:rPr>
      </w:pPr>
      <w:r w:rsidRPr="00C30988">
        <w:rPr>
          <w:rFonts w:ascii="Century Gothic" w:hAnsi="Century Gothic"/>
          <w:color w:val="425363"/>
          <w:sz w:val="20"/>
          <w:szCs w:val="20"/>
          <w:lang w:val="es-ES"/>
        </w:rPr>
        <w:t>Disminuir la frecuencia de los informes de diligencia debida en sostenibilidad, pasando de ser anuales a quinquenales.</w:t>
      </w:r>
    </w:p>
    <w:p w14:paraId="2525387B" w14:textId="220556A8" w:rsidR="00F64CF3" w:rsidRPr="00C30988" w:rsidRDefault="00F64CF3" w:rsidP="00656844">
      <w:pPr>
        <w:spacing w:line="360" w:lineRule="auto"/>
        <w:jc w:val="both"/>
        <w:rPr>
          <w:rFonts w:ascii="Century Gothic" w:hAnsi="Century Gothic"/>
          <w:color w:val="425363"/>
          <w:sz w:val="20"/>
          <w:szCs w:val="20"/>
          <w:lang w:val="es-ES"/>
        </w:rPr>
      </w:pPr>
    </w:p>
    <w:p w14:paraId="44CA2EF1" w14:textId="77777777" w:rsidR="007A1771" w:rsidRPr="007A1771" w:rsidRDefault="007A1771" w:rsidP="007A1771">
      <w:pPr>
        <w:spacing w:line="360" w:lineRule="auto"/>
        <w:jc w:val="both"/>
        <w:rPr>
          <w:rFonts w:ascii="Century Gothic" w:hAnsi="Century Gothic"/>
          <w:b/>
          <w:bCs/>
          <w:color w:val="425363"/>
          <w:sz w:val="20"/>
          <w:szCs w:val="20"/>
          <w:lang w:val="es-ES"/>
        </w:rPr>
      </w:pPr>
      <w:r w:rsidRPr="007A1771">
        <w:rPr>
          <w:rFonts w:ascii="Century Gothic" w:hAnsi="Century Gothic"/>
          <w:b/>
          <w:bCs/>
          <w:color w:val="425363"/>
          <w:sz w:val="20"/>
          <w:szCs w:val="20"/>
          <w:lang w:val="es-ES"/>
        </w:rPr>
        <w:t>IMPACTO EN LAS EMPRESAS PORTUGUESAS</w:t>
      </w:r>
    </w:p>
    <w:p w14:paraId="1B77A11B" w14:textId="77777777" w:rsidR="007A1771" w:rsidRPr="007A1771" w:rsidRDefault="007A1771" w:rsidP="007A1771">
      <w:pPr>
        <w:spacing w:line="360" w:lineRule="auto"/>
        <w:jc w:val="both"/>
        <w:rPr>
          <w:rFonts w:ascii="Century Gothic" w:hAnsi="Century Gothic"/>
          <w:b/>
          <w:bCs/>
          <w:color w:val="425363"/>
          <w:sz w:val="20"/>
          <w:szCs w:val="20"/>
          <w:lang w:val="es-ES"/>
        </w:rPr>
      </w:pPr>
      <w:r w:rsidRPr="007A1771">
        <w:rPr>
          <w:rFonts w:ascii="Century Gothic" w:hAnsi="Century Gothic"/>
          <w:b/>
          <w:bCs/>
          <w:color w:val="425363"/>
          <w:sz w:val="20"/>
          <w:szCs w:val="20"/>
          <w:lang w:val="es-ES"/>
        </w:rPr>
        <w:t>1. Reducción del ámbito, pero no de la responsabilidad</w:t>
      </w:r>
    </w:p>
    <w:p w14:paraId="576C3C35" w14:textId="77777777" w:rsidR="007A1771" w:rsidRPr="007A1771" w:rsidRDefault="007A1771" w:rsidP="007A1771">
      <w:pPr>
        <w:spacing w:line="360" w:lineRule="auto"/>
        <w:ind w:left="284"/>
        <w:jc w:val="both"/>
        <w:rPr>
          <w:rFonts w:ascii="Century Gothic" w:hAnsi="Century Gothic"/>
          <w:color w:val="425363"/>
          <w:sz w:val="20"/>
          <w:szCs w:val="20"/>
          <w:lang w:val="es-ES"/>
        </w:rPr>
      </w:pPr>
      <w:r w:rsidRPr="007A1771">
        <w:rPr>
          <w:rFonts w:ascii="Century Gothic" w:hAnsi="Century Gothic"/>
          <w:color w:val="425363"/>
          <w:sz w:val="20"/>
          <w:szCs w:val="20"/>
          <w:lang w:val="es-ES"/>
        </w:rPr>
        <w:t>Aunque muchas empresas portuguesas queden fuera del ámbito directo de aplicación, muchas forman parte de cadenas de valor de grupos empresariales europeos sujetos a obligaciones de reporte.</w:t>
      </w:r>
    </w:p>
    <w:p w14:paraId="6E4EAE51" w14:textId="77777777" w:rsidR="007A1771" w:rsidRPr="007A1771" w:rsidRDefault="007A1771" w:rsidP="007A1771">
      <w:pPr>
        <w:spacing w:line="360" w:lineRule="auto"/>
        <w:ind w:left="284"/>
        <w:jc w:val="both"/>
        <w:rPr>
          <w:rFonts w:ascii="Century Gothic" w:hAnsi="Century Gothic"/>
          <w:color w:val="425363"/>
          <w:sz w:val="20"/>
          <w:szCs w:val="20"/>
          <w:lang w:val="es-ES"/>
        </w:rPr>
      </w:pPr>
      <w:r w:rsidRPr="007A1771">
        <w:rPr>
          <w:rFonts w:ascii="Century Gothic" w:hAnsi="Century Gothic"/>
          <w:color w:val="425363"/>
          <w:sz w:val="20"/>
          <w:szCs w:val="20"/>
          <w:lang w:val="es-ES"/>
        </w:rPr>
        <w:t xml:space="preserve">Por tanto, </w:t>
      </w:r>
      <w:r w:rsidRPr="007A1771">
        <w:rPr>
          <w:rFonts w:ascii="Century Gothic" w:hAnsi="Century Gothic"/>
          <w:b/>
          <w:bCs/>
          <w:color w:val="425363"/>
          <w:sz w:val="20"/>
          <w:szCs w:val="20"/>
          <w:lang w:val="es-ES"/>
        </w:rPr>
        <w:t>sus clientes o socios internacionales</w:t>
      </w:r>
      <w:r w:rsidRPr="007A1771">
        <w:rPr>
          <w:rFonts w:ascii="Century Gothic" w:hAnsi="Century Gothic"/>
          <w:color w:val="425363"/>
          <w:sz w:val="20"/>
          <w:szCs w:val="20"/>
          <w:lang w:val="es-ES"/>
        </w:rPr>
        <w:t xml:space="preserve"> podrán exigirles datos de sostenibilidad para que estos puedan cumplir con sus propias obligaciones.</w:t>
      </w:r>
    </w:p>
    <w:p w14:paraId="5B825D4C" w14:textId="77777777" w:rsidR="007A1771" w:rsidRPr="007A1771" w:rsidRDefault="007A1771" w:rsidP="007A1771">
      <w:pPr>
        <w:spacing w:line="360" w:lineRule="auto"/>
        <w:ind w:left="284"/>
        <w:jc w:val="both"/>
        <w:rPr>
          <w:rFonts w:ascii="Century Gothic" w:hAnsi="Century Gothic"/>
          <w:color w:val="425363"/>
          <w:sz w:val="20"/>
          <w:szCs w:val="20"/>
          <w:lang w:val="es-ES"/>
        </w:rPr>
      </w:pPr>
      <w:r w:rsidRPr="007A1771">
        <w:rPr>
          <w:rFonts w:ascii="Century Gothic" w:hAnsi="Century Gothic"/>
          <w:color w:val="425363"/>
          <w:sz w:val="20"/>
          <w:szCs w:val="20"/>
          <w:lang w:val="es-ES"/>
        </w:rPr>
        <w:t>La falta de suministro de dicha información podrá dar lugar a la exclusión de relaciones contractuales.</w:t>
      </w:r>
    </w:p>
    <w:p w14:paraId="334220D3" w14:textId="77777777" w:rsidR="007A1771" w:rsidRPr="007A1771" w:rsidRDefault="007A1771" w:rsidP="007A1771">
      <w:pPr>
        <w:spacing w:line="360" w:lineRule="auto"/>
        <w:jc w:val="both"/>
        <w:rPr>
          <w:rFonts w:ascii="Century Gothic" w:hAnsi="Century Gothic"/>
          <w:b/>
          <w:bCs/>
          <w:color w:val="425363"/>
          <w:sz w:val="20"/>
          <w:szCs w:val="20"/>
          <w:lang w:val="es-ES"/>
        </w:rPr>
      </w:pPr>
    </w:p>
    <w:p w14:paraId="0AF20DEE" w14:textId="77777777" w:rsidR="007A1771" w:rsidRPr="007A1771" w:rsidRDefault="007A1771" w:rsidP="007A1771">
      <w:pPr>
        <w:spacing w:line="360" w:lineRule="auto"/>
        <w:jc w:val="both"/>
        <w:rPr>
          <w:rFonts w:ascii="Century Gothic" w:hAnsi="Century Gothic"/>
          <w:b/>
          <w:bCs/>
          <w:color w:val="425363"/>
          <w:sz w:val="20"/>
          <w:szCs w:val="20"/>
          <w:lang w:val="es-ES"/>
        </w:rPr>
      </w:pPr>
      <w:r w:rsidRPr="007A1771">
        <w:rPr>
          <w:rFonts w:ascii="Century Gothic" w:hAnsi="Century Gothic"/>
          <w:b/>
          <w:bCs/>
          <w:color w:val="425363"/>
          <w:sz w:val="20"/>
          <w:szCs w:val="20"/>
          <w:lang w:val="es-ES"/>
        </w:rPr>
        <w:t>2. Impacto estratégico en el posicionamiento</w:t>
      </w:r>
    </w:p>
    <w:p w14:paraId="030D1DAF" w14:textId="77777777" w:rsidR="007A1771" w:rsidRPr="007A1771" w:rsidRDefault="007A1771" w:rsidP="007A1771">
      <w:pPr>
        <w:spacing w:line="360" w:lineRule="auto"/>
        <w:ind w:left="284"/>
        <w:jc w:val="both"/>
        <w:rPr>
          <w:rFonts w:ascii="Century Gothic" w:hAnsi="Century Gothic"/>
          <w:color w:val="425363"/>
          <w:sz w:val="20"/>
          <w:szCs w:val="20"/>
          <w:lang w:val="es-ES"/>
        </w:rPr>
      </w:pPr>
      <w:r w:rsidRPr="007A1771">
        <w:rPr>
          <w:rFonts w:ascii="Century Gothic" w:hAnsi="Century Gothic"/>
          <w:color w:val="425363"/>
          <w:sz w:val="20"/>
          <w:szCs w:val="20"/>
          <w:lang w:val="es-ES"/>
        </w:rPr>
        <w:t>Las instituciones financieras, fondos de inversión y entidades públicas seguirán valorando a las empresas con prácticas de sostenibilidad consolidadas.</w:t>
      </w:r>
    </w:p>
    <w:p w14:paraId="29387B39" w14:textId="77777777" w:rsidR="007A1771" w:rsidRPr="007A1771" w:rsidRDefault="007A1771" w:rsidP="007A1771">
      <w:pPr>
        <w:spacing w:line="360" w:lineRule="auto"/>
        <w:ind w:left="284"/>
        <w:jc w:val="both"/>
        <w:rPr>
          <w:rFonts w:ascii="Century Gothic" w:hAnsi="Century Gothic"/>
          <w:color w:val="425363"/>
          <w:sz w:val="20"/>
          <w:szCs w:val="20"/>
          <w:lang w:val="es-ES"/>
        </w:rPr>
      </w:pPr>
      <w:r w:rsidRPr="007A1771">
        <w:rPr>
          <w:rFonts w:ascii="Century Gothic" w:hAnsi="Century Gothic"/>
          <w:color w:val="425363"/>
          <w:sz w:val="20"/>
          <w:szCs w:val="20"/>
          <w:lang w:val="es-ES"/>
        </w:rPr>
        <w:t>La ausencia de reporte voluntario podrá constituir un factor negativo en la evaluación de la elegibilidad para financiación, inversión o contratación pública, reduciendo así la competitividad en el acceso a recursos financieros, contratos públicos o capital privado.</w:t>
      </w:r>
    </w:p>
    <w:p w14:paraId="76DBF978" w14:textId="77777777" w:rsidR="007A1771" w:rsidRPr="007A1771" w:rsidRDefault="007A1771" w:rsidP="007A1771">
      <w:pPr>
        <w:spacing w:line="360" w:lineRule="auto"/>
        <w:jc w:val="both"/>
        <w:rPr>
          <w:rFonts w:ascii="Century Gothic" w:hAnsi="Century Gothic"/>
          <w:b/>
          <w:bCs/>
          <w:color w:val="425363"/>
          <w:sz w:val="20"/>
          <w:szCs w:val="20"/>
          <w:lang w:val="es-ES"/>
        </w:rPr>
      </w:pPr>
    </w:p>
    <w:p w14:paraId="6FFE7789" w14:textId="77777777" w:rsidR="007A1771" w:rsidRPr="007A1771" w:rsidRDefault="007A1771" w:rsidP="007A1771">
      <w:pPr>
        <w:spacing w:line="360" w:lineRule="auto"/>
        <w:jc w:val="both"/>
        <w:rPr>
          <w:rFonts w:ascii="Century Gothic" w:hAnsi="Century Gothic"/>
          <w:b/>
          <w:bCs/>
          <w:color w:val="425363"/>
          <w:sz w:val="20"/>
          <w:szCs w:val="20"/>
          <w:lang w:val="es-ES"/>
        </w:rPr>
      </w:pPr>
      <w:r w:rsidRPr="007A1771">
        <w:rPr>
          <w:rFonts w:ascii="Century Gothic" w:hAnsi="Century Gothic"/>
          <w:b/>
          <w:bCs/>
          <w:color w:val="425363"/>
          <w:sz w:val="20"/>
          <w:szCs w:val="20"/>
          <w:lang w:val="es-ES"/>
        </w:rPr>
        <w:t>3. La adaptación interna sigue siendo necesaria</w:t>
      </w:r>
    </w:p>
    <w:p w14:paraId="103CC838" w14:textId="77777777" w:rsidR="007A1771" w:rsidRPr="007A1771" w:rsidRDefault="007A1771" w:rsidP="007A1771">
      <w:pPr>
        <w:spacing w:line="360" w:lineRule="auto"/>
        <w:ind w:left="284"/>
        <w:jc w:val="both"/>
        <w:rPr>
          <w:rFonts w:ascii="Century Gothic" w:hAnsi="Century Gothic"/>
          <w:color w:val="425363"/>
          <w:sz w:val="20"/>
          <w:szCs w:val="20"/>
          <w:lang w:val="es-ES"/>
        </w:rPr>
      </w:pPr>
      <w:r w:rsidRPr="007A1771">
        <w:rPr>
          <w:rFonts w:ascii="Century Gothic" w:hAnsi="Century Gothic"/>
          <w:color w:val="425363"/>
          <w:sz w:val="20"/>
          <w:szCs w:val="20"/>
          <w:lang w:val="es-ES"/>
        </w:rPr>
        <w:t>Las empresas que integran cadenas de valor internacionales deben mantener o incluso reforzar sus sistemas internos de sostenibilidad, aunque no estén formalmente obligadas a reportar.</w:t>
      </w:r>
    </w:p>
    <w:p w14:paraId="06D9D328" w14:textId="77777777" w:rsidR="007A1771" w:rsidRPr="007A1771" w:rsidRDefault="007A1771" w:rsidP="007A1771">
      <w:pPr>
        <w:spacing w:line="360" w:lineRule="auto"/>
        <w:jc w:val="both"/>
        <w:rPr>
          <w:rFonts w:ascii="Century Gothic" w:hAnsi="Century Gothic"/>
          <w:b/>
          <w:bCs/>
          <w:color w:val="425363"/>
          <w:sz w:val="20"/>
          <w:szCs w:val="20"/>
          <w:lang w:val="es-ES"/>
        </w:rPr>
      </w:pPr>
    </w:p>
    <w:p w14:paraId="6D864B98" w14:textId="77777777" w:rsidR="007A1771" w:rsidRPr="007A1771" w:rsidRDefault="007A1771" w:rsidP="007A1771">
      <w:pPr>
        <w:spacing w:line="360" w:lineRule="auto"/>
        <w:jc w:val="both"/>
        <w:rPr>
          <w:rFonts w:ascii="Century Gothic" w:hAnsi="Century Gothic"/>
          <w:b/>
          <w:bCs/>
          <w:color w:val="425363"/>
          <w:sz w:val="20"/>
          <w:szCs w:val="20"/>
          <w:lang w:val="es-ES"/>
        </w:rPr>
      </w:pPr>
      <w:r w:rsidRPr="007A1771">
        <w:rPr>
          <w:rFonts w:ascii="Century Gothic" w:hAnsi="Century Gothic"/>
          <w:b/>
          <w:bCs/>
          <w:color w:val="425363"/>
          <w:sz w:val="20"/>
          <w:szCs w:val="20"/>
          <w:lang w:val="es-ES"/>
        </w:rPr>
        <w:t>4. Transposición nacional y recomendaciones</w:t>
      </w:r>
    </w:p>
    <w:p w14:paraId="540EEA8C" w14:textId="77777777" w:rsidR="007A1771" w:rsidRPr="007A1771" w:rsidRDefault="007A1771" w:rsidP="007A1771">
      <w:pPr>
        <w:spacing w:line="360" w:lineRule="auto"/>
        <w:ind w:left="284"/>
        <w:jc w:val="both"/>
        <w:rPr>
          <w:rFonts w:ascii="Century Gothic" w:hAnsi="Century Gothic"/>
          <w:color w:val="425363"/>
          <w:sz w:val="20"/>
          <w:szCs w:val="20"/>
          <w:lang w:val="es-ES"/>
        </w:rPr>
      </w:pPr>
      <w:r w:rsidRPr="007A1771">
        <w:rPr>
          <w:rFonts w:ascii="Century Gothic" w:hAnsi="Century Gothic"/>
          <w:color w:val="425363"/>
          <w:sz w:val="20"/>
          <w:szCs w:val="20"/>
          <w:lang w:val="es-ES"/>
        </w:rPr>
        <w:t xml:space="preserve">Portugal dispone de plazo hasta el 31 de diciembre de 2025 para transponer la Directiva “Stop the </w:t>
      </w:r>
      <w:proofErr w:type="spellStart"/>
      <w:r w:rsidRPr="007A1771">
        <w:rPr>
          <w:rFonts w:ascii="Century Gothic" w:hAnsi="Century Gothic"/>
          <w:color w:val="425363"/>
          <w:sz w:val="20"/>
          <w:szCs w:val="20"/>
          <w:lang w:val="es-ES"/>
        </w:rPr>
        <w:t>Clock</w:t>
      </w:r>
      <w:proofErr w:type="spellEnd"/>
      <w:r w:rsidRPr="007A1771">
        <w:rPr>
          <w:rFonts w:ascii="Century Gothic" w:hAnsi="Century Gothic"/>
          <w:color w:val="425363"/>
          <w:sz w:val="20"/>
          <w:szCs w:val="20"/>
          <w:lang w:val="es-ES"/>
        </w:rPr>
        <w:t>”, por lo que se recomienda un seguimiento atento de la normativa nacional y su articulación con el Código de las Sociedades Comerciales y otros instrumentos jurídicos relevantes.</w:t>
      </w:r>
    </w:p>
    <w:p w14:paraId="5B48DF17" w14:textId="77777777" w:rsidR="007A1771" w:rsidRPr="007A1771" w:rsidRDefault="007A1771" w:rsidP="007A1771">
      <w:pPr>
        <w:spacing w:line="360" w:lineRule="auto"/>
        <w:ind w:left="284"/>
        <w:jc w:val="both"/>
        <w:rPr>
          <w:rFonts w:ascii="Century Gothic" w:hAnsi="Century Gothic"/>
          <w:color w:val="425363"/>
          <w:sz w:val="20"/>
          <w:szCs w:val="20"/>
          <w:lang w:val="es-ES"/>
        </w:rPr>
      </w:pPr>
      <w:r w:rsidRPr="007A1771">
        <w:rPr>
          <w:rFonts w:ascii="Century Gothic" w:hAnsi="Century Gothic"/>
          <w:color w:val="425363"/>
          <w:sz w:val="20"/>
          <w:szCs w:val="20"/>
          <w:lang w:val="es-ES"/>
        </w:rPr>
        <w:t>Se aconseja que las empresas:</w:t>
      </w:r>
    </w:p>
    <w:p w14:paraId="15A35438" w14:textId="6C8C755B" w:rsidR="007A1771" w:rsidRPr="007A1771" w:rsidRDefault="007A1771" w:rsidP="007A1771">
      <w:pPr>
        <w:pStyle w:val="PargrafodaLista"/>
        <w:numPr>
          <w:ilvl w:val="1"/>
          <w:numId w:val="33"/>
        </w:numPr>
        <w:spacing w:line="360" w:lineRule="auto"/>
        <w:ind w:left="709" w:hanging="425"/>
        <w:jc w:val="both"/>
        <w:rPr>
          <w:rFonts w:ascii="Century Gothic" w:hAnsi="Century Gothic"/>
          <w:color w:val="425363"/>
          <w:sz w:val="20"/>
          <w:szCs w:val="20"/>
          <w:lang w:val="es-ES"/>
        </w:rPr>
      </w:pPr>
      <w:r w:rsidRPr="007A1771">
        <w:rPr>
          <w:rFonts w:ascii="Century Gothic" w:hAnsi="Century Gothic"/>
          <w:color w:val="425363"/>
          <w:sz w:val="20"/>
          <w:szCs w:val="20"/>
          <w:lang w:val="es-ES"/>
        </w:rPr>
        <w:t>Evalúen su posición dentro de la cadena de valor de los grupos internacionales con los que colaboran;</w:t>
      </w:r>
    </w:p>
    <w:p w14:paraId="35E29A2C" w14:textId="25CF9551" w:rsidR="007A1771" w:rsidRPr="007A1771" w:rsidRDefault="007A1771" w:rsidP="007A1771">
      <w:pPr>
        <w:pStyle w:val="PargrafodaLista"/>
        <w:numPr>
          <w:ilvl w:val="1"/>
          <w:numId w:val="33"/>
        </w:numPr>
        <w:spacing w:line="360" w:lineRule="auto"/>
        <w:ind w:left="709" w:hanging="425"/>
        <w:jc w:val="both"/>
        <w:rPr>
          <w:rFonts w:ascii="Century Gothic" w:hAnsi="Century Gothic"/>
          <w:color w:val="425363"/>
          <w:sz w:val="20"/>
          <w:szCs w:val="20"/>
          <w:lang w:val="es-ES"/>
        </w:rPr>
      </w:pPr>
      <w:r w:rsidRPr="007A1771">
        <w:rPr>
          <w:rFonts w:ascii="Century Gothic" w:hAnsi="Century Gothic"/>
          <w:color w:val="425363"/>
          <w:sz w:val="20"/>
          <w:szCs w:val="20"/>
          <w:lang w:val="es-ES"/>
        </w:rPr>
        <w:lastRenderedPageBreak/>
        <w:t>Revisen sus mecanismos internos de gobernanza, cumplimiento normativo (</w:t>
      </w:r>
      <w:proofErr w:type="spellStart"/>
      <w:r w:rsidRPr="007A1771">
        <w:rPr>
          <w:rFonts w:ascii="Century Gothic" w:hAnsi="Century Gothic"/>
          <w:color w:val="425363"/>
          <w:sz w:val="20"/>
          <w:szCs w:val="20"/>
          <w:lang w:val="es-ES"/>
        </w:rPr>
        <w:t>compliance</w:t>
      </w:r>
      <w:proofErr w:type="spellEnd"/>
      <w:r w:rsidRPr="007A1771">
        <w:rPr>
          <w:rFonts w:ascii="Century Gothic" w:hAnsi="Century Gothic"/>
          <w:color w:val="425363"/>
          <w:sz w:val="20"/>
          <w:szCs w:val="20"/>
          <w:lang w:val="es-ES"/>
        </w:rPr>
        <w:t>) e información no financiera;</w:t>
      </w:r>
    </w:p>
    <w:p w14:paraId="5DE59C0E" w14:textId="797B0433" w:rsidR="007A1771" w:rsidRPr="007A1771" w:rsidRDefault="007A1771" w:rsidP="007A1771">
      <w:pPr>
        <w:pStyle w:val="PargrafodaLista"/>
        <w:numPr>
          <w:ilvl w:val="1"/>
          <w:numId w:val="33"/>
        </w:numPr>
        <w:spacing w:line="360" w:lineRule="auto"/>
        <w:ind w:left="709" w:hanging="425"/>
        <w:jc w:val="both"/>
        <w:rPr>
          <w:rFonts w:ascii="Century Gothic" w:hAnsi="Century Gothic"/>
          <w:color w:val="425363"/>
          <w:sz w:val="20"/>
          <w:szCs w:val="20"/>
          <w:lang w:val="es-ES"/>
        </w:rPr>
      </w:pPr>
      <w:r w:rsidRPr="007A1771">
        <w:rPr>
          <w:rFonts w:ascii="Century Gothic" w:hAnsi="Century Gothic"/>
          <w:color w:val="425363"/>
          <w:sz w:val="20"/>
          <w:szCs w:val="20"/>
          <w:lang w:val="es-ES"/>
        </w:rPr>
        <w:t>Se preparen para realizar un reporte voluntario estructurado, especialmente si tienen exposición a financiación europea, fondos de inversión, clientes institucionales o calificaciones ESG.</w:t>
      </w:r>
    </w:p>
    <w:p w14:paraId="7CA8FFD1" w14:textId="77777777" w:rsidR="007A1771" w:rsidRDefault="007A1771" w:rsidP="00656844">
      <w:pPr>
        <w:spacing w:line="360" w:lineRule="auto"/>
        <w:jc w:val="both"/>
        <w:rPr>
          <w:rFonts w:ascii="Century Gothic" w:eastAsia="MS Mincho" w:hAnsi="Century Gothic"/>
          <w:b/>
          <w:bCs/>
          <w:color w:val="425363"/>
          <w:sz w:val="20"/>
          <w:szCs w:val="20"/>
          <w:lang w:val="pt-PT" w:eastAsia="es-ES"/>
        </w:rPr>
      </w:pPr>
    </w:p>
    <w:p w14:paraId="42EC74E0" w14:textId="77777777" w:rsidR="00141EC7" w:rsidRPr="00141EC7" w:rsidRDefault="00141EC7" w:rsidP="00656844">
      <w:pPr>
        <w:spacing w:line="360" w:lineRule="auto"/>
        <w:jc w:val="both"/>
        <w:rPr>
          <w:rFonts w:ascii="Century Gothic" w:hAnsi="Century Gothic"/>
          <w:b/>
          <w:bCs/>
          <w:color w:val="425363"/>
          <w:sz w:val="20"/>
          <w:szCs w:val="20"/>
          <w:lang w:val="pt-PT"/>
        </w:rPr>
      </w:pPr>
      <w:r w:rsidRPr="00141EC7">
        <w:rPr>
          <w:rFonts w:ascii="Century Gothic" w:hAnsi="Century Gothic"/>
          <w:b/>
          <w:bCs/>
          <w:color w:val="425363"/>
          <w:sz w:val="20"/>
          <w:szCs w:val="20"/>
          <w:lang w:val="pt-PT"/>
        </w:rPr>
        <w:t>CONCLUSIÓN</w:t>
      </w:r>
    </w:p>
    <w:p w14:paraId="0A330BB5" w14:textId="77777777" w:rsidR="00141EC7" w:rsidRPr="00141EC7" w:rsidRDefault="00141EC7" w:rsidP="00141EC7">
      <w:pPr>
        <w:spacing w:line="360" w:lineRule="auto"/>
        <w:jc w:val="both"/>
        <w:rPr>
          <w:rFonts w:ascii="Century Gothic" w:hAnsi="Century Gothic"/>
          <w:color w:val="425363"/>
          <w:sz w:val="20"/>
          <w:szCs w:val="20"/>
          <w:lang w:val="es-ES"/>
        </w:rPr>
      </w:pPr>
      <w:r w:rsidRPr="00141EC7">
        <w:rPr>
          <w:rFonts w:ascii="Century Gothic" w:hAnsi="Century Gothic"/>
          <w:color w:val="425363"/>
          <w:sz w:val="20"/>
          <w:szCs w:val="20"/>
          <w:lang w:val="es-ES"/>
        </w:rPr>
        <w:t>La Directiva “</w:t>
      </w:r>
      <w:r w:rsidRPr="00141EC7">
        <w:rPr>
          <w:rFonts w:ascii="Century Gothic" w:hAnsi="Century Gothic"/>
          <w:i/>
          <w:iCs/>
          <w:color w:val="425363"/>
          <w:sz w:val="20"/>
          <w:szCs w:val="20"/>
          <w:lang w:val="es-ES"/>
        </w:rPr>
        <w:t xml:space="preserve">Stop the </w:t>
      </w:r>
      <w:proofErr w:type="spellStart"/>
      <w:r w:rsidRPr="00141EC7">
        <w:rPr>
          <w:rFonts w:ascii="Century Gothic" w:hAnsi="Century Gothic"/>
          <w:i/>
          <w:iCs/>
          <w:color w:val="425363"/>
          <w:sz w:val="20"/>
          <w:szCs w:val="20"/>
          <w:lang w:val="es-ES"/>
        </w:rPr>
        <w:t>Clock</w:t>
      </w:r>
      <w:proofErr w:type="spellEnd"/>
      <w:r w:rsidRPr="00141EC7">
        <w:rPr>
          <w:rFonts w:ascii="Century Gothic" w:hAnsi="Century Gothic"/>
          <w:color w:val="425363"/>
          <w:sz w:val="20"/>
          <w:szCs w:val="20"/>
          <w:lang w:val="es-ES"/>
        </w:rPr>
        <w:t>” no elimina la relevancia de la sostenibilidad, sino que ajusta los plazos y simplifica el camino en el corto plazo, sin eximir de responsabilidades futuras.</w:t>
      </w:r>
      <w:r w:rsidRPr="00141EC7">
        <w:rPr>
          <w:rFonts w:ascii="Century Gothic" w:hAnsi="Century Gothic"/>
          <w:color w:val="425363"/>
          <w:sz w:val="20"/>
          <w:szCs w:val="20"/>
          <w:lang w:val="es-ES"/>
        </w:rPr>
        <w:br/>
        <w:t>Por ello, esta prórroga debe ser entendida como una oportunidad para consolidar las estructuras internas, preparar con más tiempo el cumplimiento de futuras obligaciones y mantener la inversión en estrategias de sostenibilidad, que ya son un factor diferenciador en el mercado europeo.</w:t>
      </w:r>
    </w:p>
    <w:p w14:paraId="6354DAEB" w14:textId="77777777" w:rsidR="00141EC7" w:rsidRPr="00141EC7" w:rsidRDefault="00141EC7" w:rsidP="00141EC7">
      <w:pPr>
        <w:spacing w:line="360" w:lineRule="auto"/>
        <w:jc w:val="both"/>
        <w:rPr>
          <w:rFonts w:ascii="Century Gothic" w:hAnsi="Century Gothic"/>
          <w:color w:val="425363"/>
          <w:sz w:val="20"/>
          <w:szCs w:val="20"/>
          <w:lang w:val="es-ES"/>
        </w:rPr>
      </w:pPr>
      <w:r w:rsidRPr="00141EC7">
        <w:rPr>
          <w:rFonts w:ascii="Century Gothic" w:hAnsi="Century Gothic"/>
          <w:color w:val="425363"/>
          <w:sz w:val="20"/>
          <w:szCs w:val="20"/>
          <w:lang w:val="es-ES"/>
        </w:rPr>
        <w:t>La sostenibilidad empresarial, más allá de una obligación legal, constituye hoy un criterio determinante de competitividad y viabilidad corporativa.</w:t>
      </w:r>
    </w:p>
    <w:p w14:paraId="10AE5889" w14:textId="77777777" w:rsidR="003C386A" w:rsidRPr="00141EC7" w:rsidRDefault="003C386A" w:rsidP="00656844">
      <w:pPr>
        <w:spacing w:line="360" w:lineRule="auto"/>
        <w:jc w:val="both"/>
        <w:rPr>
          <w:rFonts w:ascii="Century Gothic" w:hAnsi="Century Gothic"/>
          <w:color w:val="425363"/>
          <w:sz w:val="20"/>
          <w:szCs w:val="20"/>
          <w:lang w:val="es-ES"/>
        </w:rPr>
      </w:pPr>
    </w:p>
    <w:p w14:paraId="09E448FE" w14:textId="77777777" w:rsidR="00C606BE" w:rsidRPr="00141EC7" w:rsidRDefault="00C606BE" w:rsidP="00656844">
      <w:pPr>
        <w:spacing w:line="360" w:lineRule="auto"/>
        <w:jc w:val="both"/>
        <w:rPr>
          <w:rFonts w:ascii="Century Gothic" w:hAnsi="Century Gothic"/>
          <w:color w:val="425363"/>
          <w:sz w:val="20"/>
          <w:szCs w:val="20"/>
          <w:lang w:val="es-ES"/>
        </w:rPr>
      </w:pPr>
    </w:p>
    <w:p w14:paraId="627384B4" w14:textId="77777777" w:rsidR="00C606BE" w:rsidRPr="00141EC7" w:rsidRDefault="00C606BE" w:rsidP="00656844">
      <w:pPr>
        <w:spacing w:line="360" w:lineRule="auto"/>
        <w:jc w:val="both"/>
        <w:rPr>
          <w:rFonts w:ascii="Century Gothic" w:hAnsi="Century Gothic"/>
          <w:color w:val="425363"/>
          <w:sz w:val="20"/>
          <w:szCs w:val="20"/>
          <w:lang w:val="es-ES"/>
        </w:rPr>
      </w:pPr>
    </w:p>
    <w:p w14:paraId="75813785" w14:textId="77777777" w:rsidR="00C606BE" w:rsidRPr="00141EC7" w:rsidRDefault="00C606BE" w:rsidP="00656844">
      <w:pPr>
        <w:spacing w:line="360" w:lineRule="auto"/>
        <w:jc w:val="both"/>
        <w:rPr>
          <w:rFonts w:ascii="Century Gothic" w:hAnsi="Century Gothic"/>
          <w:color w:val="425363"/>
          <w:sz w:val="20"/>
          <w:szCs w:val="20"/>
          <w:lang w:val="es-ES"/>
        </w:rPr>
      </w:pPr>
    </w:p>
    <w:p w14:paraId="0BE774B8" w14:textId="77777777" w:rsidR="00C606BE" w:rsidRPr="00141EC7" w:rsidRDefault="00C606BE" w:rsidP="00656844">
      <w:pPr>
        <w:spacing w:line="360" w:lineRule="auto"/>
        <w:jc w:val="both"/>
        <w:rPr>
          <w:rFonts w:ascii="Century Gothic" w:hAnsi="Century Gothic"/>
          <w:color w:val="425363"/>
          <w:sz w:val="20"/>
          <w:szCs w:val="20"/>
          <w:lang w:val="es-ES"/>
        </w:rPr>
      </w:pPr>
    </w:p>
    <w:p w14:paraId="36D3309A" w14:textId="77777777" w:rsidR="00C606BE" w:rsidRPr="00141EC7" w:rsidRDefault="00C606BE" w:rsidP="00656844">
      <w:pPr>
        <w:spacing w:line="360" w:lineRule="auto"/>
        <w:jc w:val="both"/>
        <w:rPr>
          <w:rFonts w:ascii="Century Gothic" w:hAnsi="Century Gothic"/>
          <w:color w:val="425363"/>
          <w:sz w:val="20"/>
          <w:szCs w:val="20"/>
          <w:lang w:val="es-ES"/>
        </w:rPr>
      </w:pPr>
    </w:p>
    <w:p w14:paraId="12000132" w14:textId="77777777" w:rsidR="00C606BE" w:rsidRPr="00141EC7" w:rsidRDefault="00C606BE" w:rsidP="00656844">
      <w:pPr>
        <w:spacing w:line="360" w:lineRule="auto"/>
        <w:jc w:val="both"/>
        <w:rPr>
          <w:rFonts w:ascii="Century Gothic" w:hAnsi="Century Gothic"/>
          <w:color w:val="425363"/>
          <w:sz w:val="20"/>
          <w:szCs w:val="20"/>
          <w:lang w:val="es-ES"/>
        </w:rPr>
      </w:pPr>
    </w:p>
    <w:p w14:paraId="53C0ECC4" w14:textId="77777777" w:rsidR="00C606BE" w:rsidRPr="00141EC7" w:rsidRDefault="00C606BE" w:rsidP="00656844">
      <w:pPr>
        <w:spacing w:line="360" w:lineRule="auto"/>
        <w:jc w:val="both"/>
        <w:rPr>
          <w:rFonts w:ascii="Century Gothic" w:hAnsi="Century Gothic"/>
          <w:color w:val="425363"/>
          <w:sz w:val="20"/>
          <w:szCs w:val="20"/>
          <w:lang w:val="es-ES"/>
        </w:rPr>
      </w:pPr>
    </w:p>
    <w:p w14:paraId="02513B84" w14:textId="77777777" w:rsidR="00C606BE" w:rsidRPr="00141EC7" w:rsidRDefault="00C606BE" w:rsidP="00656844">
      <w:pPr>
        <w:spacing w:line="360" w:lineRule="auto"/>
        <w:jc w:val="both"/>
        <w:rPr>
          <w:rFonts w:ascii="Century Gothic" w:hAnsi="Century Gothic"/>
          <w:color w:val="425363"/>
          <w:sz w:val="20"/>
          <w:szCs w:val="20"/>
          <w:lang w:val="es-ES"/>
        </w:rPr>
      </w:pPr>
    </w:p>
    <w:p w14:paraId="1987B85C" w14:textId="77777777" w:rsidR="00C606BE" w:rsidRPr="00141EC7" w:rsidRDefault="00C606BE" w:rsidP="00656844">
      <w:pPr>
        <w:spacing w:line="360" w:lineRule="auto"/>
        <w:jc w:val="both"/>
        <w:rPr>
          <w:rFonts w:ascii="Century Gothic" w:hAnsi="Century Gothic"/>
          <w:color w:val="425363"/>
          <w:sz w:val="20"/>
          <w:szCs w:val="20"/>
          <w:lang w:val="es-ES"/>
        </w:rPr>
      </w:pPr>
    </w:p>
    <w:p w14:paraId="6A10630D" w14:textId="77777777" w:rsidR="00C606BE" w:rsidRPr="00141EC7" w:rsidRDefault="00C606BE" w:rsidP="00656844">
      <w:pPr>
        <w:spacing w:line="360" w:lineRule="auto"/>
        <w:jc w:val="both"/>
        <w:rPr>
          <w:rFonts w:ascii="Century Gothic" w:hAnsi="Century Gothic"/>
          <w:color w:val="425363"/>
          <w:sz w:val="20"/>
          <w:szCs w:val="20"/>
          <w:lang w:val="es-ES"/>
        </w:rPr>
      </w:pPr>
    </w:p>
    <w:p w14:paraId="649821A8" w14:textId="77777777" w:rsidR="00C606BE" w:rsidRPr="00141EC7" w:rsidRDefault="00C606BE" w:rsidP="00656844">
      <w:pPr>
        <w:spacing w:line="360" w:lineRule="auto"/>
        <w:jc w:val="both"/>
        <w:rPr>
          <w:rFonts w:ascii="Century Gothic" w:hAnsi="Century Gothic"/>
          <w:color w:val="425363"/>
          <w:sz w:val="20"/>
          <w:szCs w:val="20"/>
          <w:lang w:val="es-ES"/>
        </w:rPr>
      </w:pPr>
    </w:p>
    <w:p w14:paraId="083B4D7B" w14:textId="77777777" w:rsidR="00C606BE" w:rsidRPr="00141EC7" w:rsidRDefault="00C606BE" w:rsidP="00656844">
      <w:pPr>
        <w:spacing w:line="360" w:lineRule="auto"/>
        <w:jc w:val="both"/>
        <w:rPr>
          <w:rFonts w:ascii="Century Gothic" w:hAnsi="Century Gothic"/>
          <w:color w:val="425363"/>
          <w:sz w:val="20"/>
          <w:szCs w:val="20"/>
          <w:lang w:val="es-ES"/>
        </w:rPr>
      </w:pPr>
    </w:p>
    <w:p w14:paraId="6354D77A" w14:textId="77777777" w:rsidR="00C606BE" w:rsidRPr="00141EC7" w:rsidRDefault="00C606BE" w:rsidP="00656844">
      <w:pPr>
        <w:spacing w:line="360" w:lineRule="auto"/>
        <w:jc w:val="both"/>
        <w:rPr>
          <w:rFonts w:ascii="Century Gothic" w:hAnsi="Century Gothic"/>
          <w:color w:val="425363"/>
          <w:sz w:val="20"/>
          <w:szCs w:val="20"/>
          <w:lang w:val="es-ES"/>
        </w:rPr>
      </w:pPr>
    </w:p>
    <w:sectPr w:rsidR="00C606BE" w:rsidRPr="00141EC7" w:rsidSect="00C7788D">
      <w:headerReference w:type="default" r:id="rId10"/>
      <w:footerReference w:type="default" r:id="rId11"/>
      <w:headerReference w:type="first" r:id="rId12"/>
      <w:footerReference w:type="first" r:id="rId13"/>
      <w:type w:val="continuous"/>
      <w:pgSz w:w="12240" w:h="15840"/>
      <w:pgMar w:top="1702"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3D99C" w14:textId="77777777" w:rsidR="00F64CF3" w:rsidRDefault="00F64CF3" w:rsidP="007416E8">
      <w:r>
        <w:separator/>
      </w:r>
    </w:p>
  </w:endnote>
  <w:endnote w:type="continuationSeparator" w:id="0">
    <w:p w14:paraId="494EA2CA" w14:textId="77777777" w:rsidR="00F64CF3" w:rsidRDefault="00F64CF3" w:rsidP="0074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6A73" w14:textId="77777777" w:rsidR="00EF5BF2" w:rsidRPr="003C386A" w:rsidRDefault="003C386A" w:rsidP="003C386A">
    <w:pPr>
      <w:pStyle w:val="Rodap"/>
      <w:jc w:val="center"/>
      <w:rPr>
        <w:rFonts w:ascii="Century Gothic" w:hAnsi="Century Gothic"/>
        <w:b/>
        <w:bCs/>
        <w:color w:val="E53D2F"/>
      </w:rPr>
    </w:pPr>
    <w:r w:rsidRPr="003C386A">
      <w:rPr>
        <w:rFonts w:ascii="Century Gothic" w:hAnsi="Century Gothic"/>
        <w:b/>
        <w:bCs/>
        <w:color w:val="E53D2F"/>
      </w:rPr>
      <w:t>www.adcecija.pt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4193" w14:textId="77777777" w:rsidR="003C386A" w:rsidRDefault="003C386A" w:rsidP="003C386A">
    <w:pPr>
      <w:pStyle w:val="Rodap"/>
      <w:rPr>
        <w:rFonts w:ascii="Century Gothic" w:hAnsi="Century Gothic"/>
        <w:b/>
        <w:bCs/>
        <w:color w:val="E53D2F"/>
      </w:rPr>
    </w:pPr>
  </w:p>
  <w:p w14:paraId="3ED188BC" w14:textId="77777777" w:rsidR="00000E4A" w:rsidRPr="003C386A" w:rsidRDefault="003C386A" w:rsidP="003C386A">
    <w:pPr>
      <w:pStyle w:val="Rodap"/>
      <w:jc w:val="center"/>
      <w:rPr>
        <w:rFonts w:ascii="Century Gothic" w:hAnsi="Century Gothic"/>
        <w:b/>
        <w:bCs/>
        <w:color w:val="E53D2F"/>
      </w:rPr>
    </w:pPr>
    <w:r w:rsidRPr="003C386A">
      <w:rPr>
        <w:rFonts w:ascii="Century Gothic" w:hAnsi="Century Gothic"/>
        <w:b/>
        <w:bCs/>
        <w:color w:val="E53D2F"/>
      </w:rPr>
      <w:t>www.adcecija.pt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6556F" w14:textId="77777777" w:rsidR="00F64CF3" w:rsidRDefault="00F64CF3" w:rsidP="007416E8">
      <w:r>
        <w:separator/>
      </w:r>
    </w:p>
  </w:footnote>
  <w:footnote w:type="continuationSeparator" w:id="0">
    <w:p w14:paraId="52E89F4C" w14:textId="77777777" w:rsidR="00F64CF3" w:rsidRDefault="00F64CF3" w:rsidP="00741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8C8E" w14:textId="77777777" w:rsidR="007416E8" w:rsidRPr="007416E8" w:rsidRDefault="007416E8" w:rsidP="00C7788D">
    <w:pPr>
      <w:pStyle w:val="Cabealho"/>
      <w:tabs>
        <w:tab w:val="clear" w:pos="4419"/>
        <w:tab w:val="clear" w:pos="8838"/>
        <w:tab w:val="left" w:pos="3631"/>
      </w:tabs>
      <w:rPr>
        <w:rFonts w:ascii="Century Gothic" w:hAnsi="Century Gothic"/>
        <w:sz w:val="20"/>
        <w:szCs w:val="20"/>
      </w:rPr>
    </w:pPr>
    <w:r w:rsidRPr="007416E8">
      <w:rPr>
        <w:rFonts w:ascii="Century Gothic" w:hAnsi="Century Gothic"/>
        <w:sz w:val="20"/>
        <w:szCs w:val="20"/>
      </w:rPr>
      <w:t xml:space="preserve"> </w:t>
    </w:r>
    <w:r w:rsidR="001D18D0">
      <w:rPr>
        <w:rFonts w:ascii="Century Gothic" w:hAnsi="Century Gothic"/>
        <w:noProof/>
        <w:sz w:val="20"/>
        <w:szCs w:val="20"/>
        <w:lang w:eastAsia="pt-PT"/>
      </w:rPr>
      <w:drawing>
        <wp:inline distT="0" distB="0" distL="0" distR="0" wp14:anchorId="65D04878" wp14:editId="02790800">
          <wp:extent cx="393161" cy="256012"/>
          <wp:effectExtent l="0" t="0" r="635" b="0"/>
          <wp:docPr id="5" name="Imagem 5" descr="../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97" cy="261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6FDB" w14:textId="77777777" w:rsidR="001D18D0" w:rsidRDefault="001D18D0">
    <w:pPr>
      <w:pStyle w:val="Cabealho"/>
    </w:pPr>
    <w:r>
      <w:rPr>
        <w:noProof/>
        <w:lang w:eastAsia="pt-PT"/>
      </w:rPr>
      <w:drawing>
        <wp:inline distT="0" distB="0" distL="0" distR="0" wp14:anchorId="7834AAC2" wp14:editId="1787CE9D">
          <wp:extent cx="1228422" cy="636147"/>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E_logo_rojo.png"/>
                  <pic:cNvPicPr/>
                </pic:nvPicPr>
                <pic:blipFill>
                  <a:blip r:embed="rId1"/>
                  <a:stretch>
                    <a:fillRect/>
                  </a:stretch>
                </pic:blipFill>
                <pic:spPr>
                  <a:xfrm>
                    <a:off x="0" y="0"/>
                    <a:ext cx="1342194" cy="6950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851525447" o:spid="_x0000_i1028" type="#_x0000_t75" style="width:38pt;height:38pt;visibility:visible;mso-wrap-style:square" o:bullet="t">
        <v:imagedata r:id="rId1" o:title=""/>
      </v:shape>
    </w:pict>
  </w:numPicBullet>
  <w:numPicBullet w:numPicBulletId="1">
    <w:pict>
      <v:shape id="Imagem 557183717" o:spid="_x0000_i1029" type="#_x0000_t75" style="width:38pt;height:38pt;visibility:visible;mso-wrap-style:square" o:bullet="t">
        <v:imagedata r:id="rId2" o:title=""/>
      </v:shape>
    </w:pict>
  </w:numPicBullet>
  <w:abstractNum w:abstractNumId="0" w15:restartNumberingAfterBreak="0">
    <w:nsid w:val="01F65841"/>
    <w:multiLevelType w:val="hybridMultilevel"/>
    <w:tmpl w:val="58AAD7E8"/>
    <w:lvl w:ilvl="0" w:tplc="A964D0DA">
      <w:start w:val="1"/>
      <w:numFmt w:val="decimal"/>
      <w:lvlText w:val="%1."/>
      <w:lvlJc w:val="left"/>
      <w:pPr>
        <w:ind w:left="720" w:hanging="360"/>
      </w:pPr>
      <w:rPr>
        <w:rFonts w:hint="default"/>
      </w:rPr>
    </w:lvl>
    <w:lvl w:ilvl="1" w:tplc="6E344CCE">
      <w:numFmt w:val="bullet"/>
      <w:lvlText w:val="•"/>
      <w:lvlJc w:val="left"/>
      <w:pPr>
        <w:ind w:left="1440" w:hanging="360"/>
      </w:pPr>
      <w:rPr>
        <w:rFonts w:ascii="Century Gothic" w:eastAsia="Times New Roman" w:hAnsi="Century Gothic" w:cs="Times New Roman"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2912020"/>
    <w:multiLevelType w:val="hybridMultilevel"/>
    <w:tmpl w:val="B6B26DF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9680CF4"/>
    <w:multiLevelType w:val="hybridMultilevel"/>
    <w:tmpl w:val="1F60EC38"/>
    <w:lvl w:ilvl="0" w:tplc="08160001">
      <w:start w:val="1"/>
      <w:numFmt w:val="bullet"/>
      <w:lvlText w:val=""/>
      <w:lvlJc w:val="left"/>
      <w:pPr>
        <w:ind w:left="1080" w:hanging="360"/>
      </w:pPr>
      <w:rPr>
        <w:rFonts w:ascii="Symbol" w:hAnsi="Symbol" w:cs="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cs="Wingdings" w:hint="default"/>
      </w:rPr>
    </w:lvl>
    <w:lvl w:ilvl="3" w:tplc="08160001" w:tentative="1">
      <w:start w:val="1"/>
      <w:numFmt w:val="bullet"/>
      <w:lvlText w:val=""/>
      <w:lvlJc w:val="left"/>
      <w:pPr>
        <w:ind w:left="3240" w:hanging="360"/>
      </w:pPr>
      <w:rPr>
        <w:rFonts w:ascii="Symbol" w:hAnsi="Symbol" w:cs="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cs="Wingdings" w:hint="default"/>
      </w:rPr>
    </w:lvl>
    <w:lvl w:ilvl="6" w:tplc="08160001" w:tentative="1">
      <w:start w:val="1"/>
      <w:numFmt w:val="bullet"/>
      <w:lvlText w:val=""/>
      <w:lvlJc w:val="left"/>
      <w:pPr>
        <w:ind w:left="5400" w:hanging="360"/>
      </w:pPr>
      <w:rPr>
        <w:rFonts w:ascii="Symbol" w:hAnsi="Symbol" w:cs="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BFB5F13"/>
    <w:multiLevelType w:val="hybridMultilevel"/>
    <w:tmpl w:val="DC2C1474"/>
    <w:lvl w:ilvl="0" w:tplc="AC14084E">
      <w:numFmt w:val="bullet"/>
      <w:lvlText w:val="-"/>
      <w:lvlJc w:val="left"/>
      <w:pPr>
        <w:ind w:left="720" w:hanging="360"/>
      </w:pPr>
      <w:rPr>
        <w:rFonts w:ascii="Century Gothic" w:eastAsia="MS Mincho" w:hAnsi="Century Gothic"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F4B6F8D"/>
    <w:multiLevelType w:val="hybridMultilevel"/>
    <w:tmpl w:val="8EC6D7F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3002D3D"/>
    <w:multiLevelType w:val="hybridMultilevel"/>
    <w:tmpl w:val="6C28AD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6697C96"/>
    <w:multiLevelType w:val="hybridMultilevel"/>
    <w:tmpl w:val="89A28D3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66D0C6E"/>
    <w:multiLevelType w:val="hybridMultilevel"/>
    <w:tmpl w:val="C71AA2A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9783DDA"/>
    <w:multiLevelType w:val="hybridMultilevel"/>
    <w:tmpl w:val="6F4E622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1C774621"/>
    <w:multiLevelType w:val="hybridMultilevel"/>
    <w:tmpl w:val="6C4AC1D0"/>
    <w:lvl w:ilvl="0" w:tplc="08160001">
      <w:start w:val="1"/>
      <w:numFmt w:val="bullet"/>
      <w:lvlText w:val=""/>
      <w:lvlJc w:val="left"/>
      <w:pPr>
        <w:ind w:left="720" w:hanging="360"/>
      </w:pPr>
      <w:rPr>
        <w:rFonts w:ascii="Symbol" w:hAnsi="Symbol" w:cs="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cs="Wingdings" w:hint="default"/>
      </w:rPr>
    </w:lvl>
    <w:lvl w:ilvl="3" w:tplc="08160001" w:tentative="1">
      <w:start w:val="1"/>
      <w:numFmt w:val="bullet"/>
      <w:lvlText w:val=""/>
      <w:lvlJc w:val="left"/>
      <w:pPr>
        <w:ind w:left="2880" w:hanging="360"/>
      </w:pPr>
      <w:rPr>
        <w:rFonts w:ascii="Symbol" w:hAnsi="Symbol" w:cs="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cs="Wingdings" w:hint="default"/>
      </w:rPr>
    </w:lvl>
    <w:lvl w:ilvl="6" w:tplc="08160001" w:tentative="1">
      <w:start w:val="1"/>
      <w:numFmt w:val="bullet"/>
      <w:lvlText w:val=""/>
      <w:lvlJc w:val="left"/>
      <w:pPr>
        <w:ind w:left="5040" w:hanging="360"/>
      </w:pPr>
      <w:rPr>
        <w:rFonts w:ascii="Symbol" w:hAnsi="Symbol" w:cs="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D4770FD"/>
    <w:multiLevelType w:val="hybridMultilevel"/>
    <w:tmpl w:val="DCFC580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05A4338"/>
    <w:multiLevelType w:val="hybridMultilevel"/>
    <w:tmpl w:val="4E94E01E"/>
    <w:lvl w:ilvl="0" w:tplc="08160001">
      <w:start w:val="1"/>
      <w:numFmt w:val="bullet"/>
      <w:lvlText w:val=""/>
      <w:lvlJc w:val="left"/>
      <w:pPr>
        <w:ind w:left="720" w:hanging="360"/>
      </w:pPr>
      <w:rPr>
        <w:rFonts w:ascii="Symbol" w:hAnsi="Symbol" w:cs="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2" w15:restartNumberingAfterBreak="0">
    <w:nsid w:val="264F6ACA"/>
    <w:multiLevelType w:val="hybridMultilevel"/>
    <w:tmpl w:val="321A97E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29B77940"/>
    <w:multiLevelType w:val="hybridMultilevel"/>
    <w:tmpl w:val="E0ACC500"/>
    <w:lvl w:ilvl="0" w:tplc="08160001">
      <w:start w:val="1"/>
      <w:numFmt w:val="bullet"/>
      <w:lvlText w:val=""/>
      <w:lvlJc w:val="left"/>
      <w:pPr>
        <w:ind w:left="720" w:hanging="360"/>
      </w:pPr>
      <w:rPr>
        <w:rFonts w:ascii="Symbol" w:hAnsi="Symbol" w:cs="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cs="Wingdings" w:hint="default"/>
      </w:rPr>
    </w:lvl>
    <w:lvl w:ilvl="3" w:tplc="08160001" w:tentative="1">
      <w:start w:val="1"/>
      <w:numFmt w:val="bullet"/>
      <w:lvlText w:val=""/>
      <w:lvlJc w:val="left"/>
      <w:pPr>
        <w:ind w:left="2880" w:hanging="360"/>
      </w:pPr>
      <w:rPr>
        <w:rFonts w:ascii="Symbol" w:hAnsi="Symbol" w:cs="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cs="Wingdings" w:hint="default"/>
      </w:rPr>
    </w:lvl>
    <w:lvl w:ilvl="6" w:tplc="08160001" w:tentative="1">
      <w:start w:val="1"/>
      <w:numFmt w:val="bullet"/>
      <w:lvlText w:val=""/>
      <w:lvlJc w:val="left"/>
      <w:pPr>
        <w:ind w:left="5040" w:hanging="360"/>
      </w:pPr>
      <w:rPr>
        <w:rFonts w:ascii="Symbol" w:hAnsi="Symbol" w:cs="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D2F1C60"/>
    <w:multiLevelType w:val="hybridMultilevel"/>
    <w:tmpl w:val="A1AA6ECA"/>
    <w:lvl w:ilvl="0" w:tplc="08160001">
      <w:start w:val="1"/>
      <w:numFmt w:val="bullet"/>
      <w:lvlText w:val=""/>
      <w:lvlJc w:val="left"/>
      <w:pPr>
        <w:ind w:left="720" w:hanging="360"/>
      </w:pPr>
      <w:rPr>
        <w:rFonts w:ascii="Symbol" w:hAnsi="Symbol" w:cs="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cs="Wingdings" w:hint="default"/>
      </w:rPr>
    </w:lvl>
    <w:lvl w:ilvl="3" w:tplc="08160001" w:tentative="1">
      <w:start w:val="1"/>
      <w:numFmt w:val="bullet"/>
      <w:lvlText w:val=""/>
      <w:lvlJc w:val="left"/>
      <w:pPr>
        <w:ind w:left="2880" w:hanging="360"/>
      </w:pPr>
      <w:rPr>
        <w:rFonts w:ascii="Symbol" w:hAnsi="Symbol" w:cs="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cs="Wingdings" w:hint="default"/>
      </w:rPr>
    </w:lvl>
    <w:lvl w:ilvl="6" w:tplc="08160001" w:tentative="1">
      <w:start w:val="1"/>
      <w:numFmt w:val="bullet"/>
      <w:lvlText w:val=""/>
      <w:lvlJc w:val="left"/>
      <w:pPr>
        <w:ind w:left="5040" w:hanging="360"/>
      </w:pPr>
      <w:rPr>
        <w:rFonts w:ascii="Symbol" w:hAnsi="Symbol" w:cs="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E524ED4"/>
    <w:multiLevelType w:val="hybridMultilevel"/>
    <w:tmpl w:val="BD249BE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2E6F1D92"/>
    <w:multiLevelType w:val="hybridMultilevel"/>
    <w:tmpl w:val="1E10BC2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7" w15:restartNumberingAfterBreak="0">
    <w:nsid w:val="319D0149"/>
    <w:multiLevelType w:val="hybridMultilevel"/>
    <w:tmpl w:val="101411A2"/>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8" w15:restartNumberingAfterBreak="0">
    <w:nsid w:val="34BD6FA4"/>
    <w:multiLevelType w:val="hybridMultilevel"/>
    <w:tmpl w:val="496C47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39077A00"/>
    <w:multiLevelType w:val="hybridMultilevel"/>
    <w:tmpl w:val="429E11F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45BD20F2"/>
    <w:multiLevelType w:val="hybridMultilevel"/>
    <w:tmpl w:val="F58A6026"/>
    <w:lvl w:ilvl="0" w:tplc="FAC64748">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1" w15:restartNumberingAfterBreak="0">
    <w:nsid w:val="47432444"/>
    <w:multiLevelType w:val="hybridMultilevel"/>
    <w:tmpl w:val="44EA0FFE"/>
    <w:lvl w:ilvl="0" w:tplc="FB74138A">
      <w:start w:val="1"/>
      <w:numFmt w:val="bullet"/>
      <w:lvlText w:val=""/>
      <w:lvlPicBulletId w:val="0"/>
      <w:lvlJc w:val="left"/>
      <w:pPr>
        <w:ind w:left="720" w:hanging="360"/>
      </w:pPr>
      <w:rPr>
        <w:rFonts w:ascii="Symbol" w:hAnsi="Symbol"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4E4A27F3"/>
    <w:multiLevelType w:val="hybridMultilevel"/>
    <w:tmpl w:val="8228D650"/>
    <w:lvl w:ilvl="0" w:tplc="08160001">
      <w:start w:val="1"/>
      <w:numFmt w:val="bullet"/>
      <w:lvlText w:val=""/>
      <w:lvlJc w:val="left"/>
      <w:pPr>
        <w:ind w:left="1080" w:hanging="360"/>
      </w:pPr>
      <w:rPr>
        <w:rFonts w:ascii="Symbol" w:hAnsi="Symbol" w:cs="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cs="Wingdings" w:hint="default"/>
      </w:rPr>
    </w:lvl>
    <w:lvl w:ilvl="3" w:tplc="08160001" w:tentative="1">
      <w:start w:val="1"/>
      <w:numFmt w:val="bullet"/>
      <w:lvlText w:val=""/>
      <w:lvlJc w:val="left"/>
      <w:pPr>
        <w:ind w:left="3240" w:hanging="360"/>
      </w:pPr>
      <w:rPr>
        <w:rFonts w:ascii="Symbol" w:hAnsi="Symbol" w:cs="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cs="Wingdings" w:hint="default"/>
      </w:rPr>
    </w:lvl>
    <w:lvl w:ilvl="6" w:tplc="08160001" w:tentative="1">
      <w:start w:val="1"/>
      <w:numFmt w:val="bullet"/>
      <w:lvlText w:val=""/>
      <w:lvlJc w:val="left"/>
      <w:pPr>
        <w:ind w:left="5400" w:hanging="360"/>
      </w:pPr>
      <w:rPr>
        <w:rFonts w:ascii="Symbol" w:hAnsi="Symbol" w:cs="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522E0255"/>
    <w:multiLevelType w:val="hybridMultilevel"/>
    <w:tmpl w:val="504E397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56A254ED"/>
    <w:multiLevelType w:val="hybridMultilevel"/>
    <w:tmpl w:val="9972273E"/>
    <w:lvl w:ilvl="0" w:tplc="08160001">
      <w:start w:val="1"/>
      <w:numFmt w:val="bullet"/>
      <w:lvlText w:val=""/>
      <w:lvlJc w:val="left"/>
      <w:pPr>
        <w:ind w:left="1080" w:hanging="360"/>
      </w:pPr>
      <w:rPr>
        <w:rFonts w:ascii="Symbol" w:hAnsi="Symbol" w:cs="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cs="Wingdings" w:hint="default"/>
      </w:rPr>
    </w:lvl>
    <w:lvl w:ilvl="3" w:tplc="08160001" w:tentative="1">
      <w:start w:val="1"/>
      <w:numFmt w:val="bullet"/>
      <w:lvlText w:val=""/>
      <w:lvlJc w:val="left"/>
      <w:pPr>
        <w:ind w:left="3240" w:hanging="360"/>
      </w:pPr>
      <w:rPr>
        <w:rFonts w:ascii="Symbol" w:hAnsi="Symbol" w:cs="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cs="Wingdings" w:hint="default"/>
      </w:rPr>
    </w:lvl>
    <w:lvl w:ilvl="6" w:tplc="08160001" w:tentative="1">
      <w:start w:val="1"/>
      <w:numFmt w:val="bullet"/>
      <w:lvlText w:val=""/>
      <w:lvlJc w:val="left"/>
      <w:pPr>
        <w:ind w:left="5400" w:hanging="360"/>
      </w:pPr>
      <w:rPr>
        <w:rFonts w:ascii="Symbol" w:hAnsi="Symbol" w:cs="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cs="Wingdings" w:hint="default"/>
      </w:rPr>
    </w:lvl>
  </w:abstractNum>
  <w:abstractNum w:abstractNumId="25" w15:restartNumberingAfterBreak="0">
    <w:nsid w:val="5A2209E9"/>
    <w:multiLevelType w:val="hybridMultilevel"/>
    <w:tmpl w:val="0E3EC158"/>
    <w:lvl w:ilvl="0" w:tplc="0B483E5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5AE5562E"/>
    <w:multiLevelType w:val="hybridMultilevel"/>
    <w:tmpl w:val="D5F6ED52"/>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7" w15:restartNumberingAfterBreak="0">
    <w:nsid w:val="5AFB10E8"/>
    <w:multiLevelType w:val="hybridMultilevel"/>
    <w:tmpl w:val="349003AE"/>
    <w:lvl w:ilvl="0" w:tplc="08160001">
      <w:start w:val="1"/>
      <w:numFmt w:val="bullet"/>
      <w:lvlText w:val=""/>
      <w:lvlJc w:val="left"/>
      <w:pPr>
        <w:ind w:left="720" w:hanging="360"/>
      </w:pPr>
      <w:rPr>
        <w:rFonts w:ascii="Symbol" w:hAnsi="Symbol" w:cs="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cs="Wingdings" w:hint="default"/>
      </w:rPr>
    </w:lvl>
    <w:lvl w:ilvl="3" w:tplc="08160001" w:tentative="1">
      <w:start w:val="1"/>
      <w:numFmt w:val="bullet"/>
      <w:lvlText w:val=""/>
      <w:lvlJc w:val="left"/>
      <w:pPr>
        <w:ind w:left="2880" w:hanging="360"/>
      </w:pPr>
      <w:rPr>
        <w:rFonts w:ascii="Symbol" w:hAnsi="Symbol" w:cs="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cs="Wingdings" w:hint="default"/>
      </w:rPr>
    </w:lvl>
    <w:lvl w:ilvl="6" w:tplc="08160001" w:tentative="1">
      <w:start w:val="1"/>
      <w:numFmt w:val="bullet"/>
      <w:lvlText w:val=""/>
      <w:lvlJc w:val="left"/>
      <w:pPr>
        <w:ind w:left="5040" w:hanging="360"/>
      </w:pPr>
      <w:rPr>
        <w:rFonts w:ascii="Symbol" w:hAnsi="Symbol" w:cs="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DC94466"/>
    <w:multiLevelType w:val="multilevel"/>
    <w:tmpl w:val="8132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B02B27"/>
    <w:multiLevelType w:val="hybridMultilevel"/>
    <w:tmpl w:val="704CAF3C"/>
    <w:lvl w:ilvl="0" w:tplc="1812B238">
      <w:start w:val="1"/>
      <w:numFmt w:val="bullet"/>
      <w:lvlText w:val=""/>
      <w:lvlPicBulletId w:val="1"/>
      <w:lvlJc w:val="left"/>
      <w:pPr>
        <w:ind w:left="720" w:hanging="360"/>
      </w:pPr>
      <w:rPr>
        <w:rFonts w:ascii="Symbol" w:hAnsi="Symbol"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67630CC8"/>
    <w:multiLevelType w:val="hybridMultilevel"/>
    <w:tmpl w:val="2396A16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6A1873C4"/>
    <w:multiLevelType w:val="multilevel"/>
    <w:tmpl w:val="F5B02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CD5C83"/>
    <w:multiLevelType w:val="multilevel"/>
    <w:tmpl w:val="AC76A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BD4EBC"/>
    <w:multiLevelType w:val="hybridMultilevel"/>
    <w:tmpl w:val="767C16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7F4C67D7"/>
    <w:multiLevelType w:val="hybridMultilevel"/>
    <w:tmpl w:val="5374F4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441803919">
    <w:abstractNumId w:val="12"/>
  </w:num>
  <w:num w:numId="2" w16cid:durableId="1896155665">
    <w:abstractNumId w:val="26"/>
  </w:num>
  <w:num w:numId="3" w16cid:durableId="1307511693">
    <w:abstractNumId w:val="23"/>
  </w:num>
  <w:num w:numId="4" w16cid:durableId="1331981446">
    <w:abstractNumId w:val="5"/>
  </w:num>
  <w:num w:numId="5" w16cid:durableId="1121681301">
    <w:abstractNumId w:val="30"/>
  </w:num>
  <w:num w:numId="6" w16cid:durableId="2052074658">
    <w:abstractNumId w:val="33"/>
  </w:num>
  <w:num w:numId="7" w16cid:durableId="72094855">
    <w:abstractNumId w:val="4"/>
  </w:num>
  <w:num w:numId="8" w16cid:durableId="1927766244">
    <w:abstractNumId w:val="19"/>
  </w:num>
  <w:num w:numId="9" w16cid:durableId="1275870608">
    <w:abstractNumId w:val="3"/>
  </w:num>
  <w:num w:numId="10" w16cid:durableId="467625726">
    <w:abstractNumId w:val="10"/>
  </w:num>
  <w:num w:numId="11" w16cid:durableId="2024430815">
    <w:abstractNumId w:val="17"/>
  </w:num>
  <w:num w:numId="12" w16cid:durableId="1878931503">
    <w:abstractNumId w:val="7"/>
  </w:num>
  <w:num w:numId="13" w16cid:durableId="1690520558">
    <w:abstractNumId w:val="34"/>
  </w:num>
  <w:num w:numId="14" w16cid:durableId="2034185543">
    <w:abstractNumId w:val="15"/>
  </w:num>
  <w:num w:numId="15" w16cid:durableId="200940010">
    <w:abstractNumId w:val="1"/>
  </w:num>
  <w:num w:numId="16" w16cid:durableId="259141306">
    <w:abstractNumId w:val="8"/>
  </w:num>
  <w:num w:numId="17" w16cid:durableId="263417507">
    <w:abstractNumId w:val="14"/>
  </w:num>
  <w:num w:numId="18" w16cid:durableId="1219240007">
    <w:abstractNumId w:val="9"/>
  </w:num>
  <w:num w:numId="19" w16cid:durableId="682240603">
    <w:abstractNumId w:val="11"/>
  </w:num>
  <w:num w:numId="20" w16cid:durableId="1131365843">
    <w:abstractNumId w:val="2"/>
  </w:num>
  <w:num w:numId="21" w16cid:durableId="658968822">
    <w:abstractNumId w:val="22"/>
  </w:num>
  <w:num w:numId="22" w16cid:durableId="1528366446">
    <w:abstractNumId w:val="24"/>
  </w:num>
  <w:num w:numId="23" w16cid:durableId="140000024">
    <w:abstractNumId w:val="27"/>
  </w:num>
  <w:num w:numId="24" w16cid:durableId="849561885">
    <w:abstractNumId w:val="13"/>
  </w:num>
  <w:num w:numId="25" w16cid:durableId="298153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6230505">
    <w:abstractNumId w:val="6"/>
  </w:num>
  <w:num w:numId="27" w16cid:durableId="467015354">
    <w:abstractNumId w:val="20"/>
  </w:num>
  <w:num w:numId="28" w16cid:durableId="1723168994">
    <w:abstractNumId w:val="21"/>
  </w:num>
  <w:num w:numId="29" w16cid:durableId="831332645">
    <w:abstractNumId w:val="29"/>
  </w:num>
  <w:num w:numId="30" w16cid:durableId="1960136414">
    <w:abstractNumId w:val="28"/>
  </w:num>
  <w:num w:numId="31" w16cid:durableId="845487361">
    <w:abstractNumId w:val="32"/>
  </w:num>
  <w:num w:numId="32" w16cid:durableId="572668108">
    <w:abstractNumId w:val="31"/>
  </w:num>
  <w:num w:numId="33" w16cid:durableId="1677028007">
    <w:abstractNumId w:val="0"/>
  </w:num>
  <w:num w:numId="34" w16cid:durableId="480583628">
    <w:abstractNumId w:val="25"/>
  </w:num>
  <w:num w:numId="35" w16cid:durableId="18731814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CF3"/>
    <w:rsid w:val="000003E3"/>
    <w:rsid w:val="00000E4A"/>
    <w:rsid w:val="00003ABE"/>
    <w:rsid w:val="000205CF"/>
    <w:rsid w:val="000225B0"/>
    <w:rsid w:val="00031711"/>
    <w:rsid w:val="0004084C"/>
    <w:rsid w:val="000437FB"/>
    <w:rsid w:val="00043A95"/>
    <w:rsid w:val="0005515C"/>
    <w:rsid w:val="000553D7"/>
    <w:rsid w:val="00055C56"/>
    <w:rsid w:val="00057B5F"/>
    <w:rsid w:val="00062D2C"/>
    <w:rsid w:val="0006355C"/>
    <w:rsid w:val="000660E5"/>
    <w:rsid w:val="00076002"/>
    <w:rsid w:val="0008599E"/>
    <w:rsid w:val="00085E18"/>
    <w:rsid w:val="000912C7"/>
    <w:rsid w:val="00096D8A"/>
    <w:rsid w:val="000A3368"/>
    <w:rsid w:val="000A662F"/>
    <w:rsid w:val="000B32CC"/>
    <w:rsid w:val="000B336D"/>
    <w:rsid w:val="000B5F55"/>
    <w:rsid w:val="000B7880"/>
    <w:rsid w:val="000C40FB"/>
    <w:rsid w:val="000D2CB8"/>
    <w:rsid w:val="000D35DE"/>
    <w:rsid w:val="000E5C0A"/>
    <w:rsid w:val="000F281C"/>
    <w:rsid w:val="000F5187"/>
    <w:rsid w:val="0010757E"/>
    <w:rsid w:val="00107A47"/>
    <w:rsid w:val="00115B85"/>
    <w:rsid w:val="00116F1D"/>
    <w:rsid w:val="00133449"/>
    <w:rsid w:val="001340E8"/>
    <w:rsid w:val="00134375"/>
    <w:rsid w:val="00141EC7"/>
    <w:rsid w:val="00143332"/>
    <w:rsid w:val="00144230"/>
    <w:rsid w:val="00144C20"/>
    <w:rsid w:val="00145E8E"/>
    <w:rsid w:val="00156B17"/>
    <w:rsid w:val="00157695"/>
    <w:rsid w:val="00174A16"/>
    <w:rsid w:val="00180AFE"/>
    <w:rsid w:val="0019085E"/>
    <w:rsid w:val="001A015F"/>
    <w:rsid w:val="001A4847"/>
    <w:rsid w:val="001C150A"/>
    <w:rsid w:val="001C310C"/>
    <w:rsid w:val="001D18D0"/>
    <w:rsid w:val="001E060E"/>
    <w:rsid w:val="00216E40"/>
    <w:rsid w:val="00224245"/>
    <w:rsid w:val="00226D75"/>
    <w:rsid w:val="00234B12"/>
    <w:rsid w:val="00241970"/>
    <w:rsid w:val="0024254F"/>
    <w:rsid w:val="002629F8"/>
    <w:rsid w:val="002761E1"/>
    <w:rsid w:val="002768A2"/>
    <w:rsid w:val="002802EB"/>
    <w:rsid w:val="00282302"/>
    <w:rsid w:val="00285E07"/>
    <w:rsid w:val="0028777E"/>
    <w:rsid w:val="002935ED"/>
    <w:rsid w:val="002C059F"/>
    <w:rsid w:val="002C7874"/>
    <w:rsid w:val="002D1FE1"/>
    <w:rsid w:val="002D5054"/>
    <w:rsid w:val="002E1C1A"/>
    <w:rsid w:val="002E4E78"/>
    <w:rsid w:val="002E60A4"/>
    <w:rsid w:val="002E61B4"/>
    <w:rsid w:val="002F24AE"/>
    <w:rsid w:val="002F482C"/>
    <w:rsid w:val="00302403"/>
    <w:rsid w:val="003038B2"/>
    <w:rsid w:val="00313872"/>
    <w:rsid w:val="003161BC"/>
    <w:rsid w:val="00322CE6"/>
    <w:rsid w:val="003243CB"/>
    <w:rsid w:val="00346FD9"/>
    <w:rsid w:val="00353DFB"/>
    <w:rsid w:val="0036756D"/>
    <w:rsid w:val="0037281D"/>
    <w:rsid w:val="00375EB5"/>
    <w:rsid w:val="0038159A"/>
    <w:rsid w:val="00381787"/>
    <w:rsid w:val="00381BC2"/>
    <w:rsid w:val="00391896"/>
    <w:rsid w:val="003A0134"/>
    <w:rsid w:val="003B4C9B"/>
    <w:rsid w:val="003C386A"/>
    <w:rsid w:val="003D0D15"/>
    <w:rsid w:val="003D3F6E"/>
    <w:rsid w:val="003D602B"/>
    <w:rsid w:val="003E45A8"/>
    <w:rsid w:val="003F44A9"/>
    <w:rsid w:val="00411ECB"/>
    <w:rsid w:val="0043041E"/>
    <w:rsid w:val="004439C6"/>
    <w:rsid w:val="00444ED2"/>
    <w:rsid w:val="00445D49"/>
    <w:rsid w:val="00451018"/>
    <w:rsid w:val="0045343C"/>
    <w:rsid w:val="0046038D"/>
    <w:rsid w:val="004628E6"/>
    <w:rsid w:val="00473798"/>
    <w:rsid w:val="00477A5A"/>
    <w:rsid w:val="00486619"/>
    <w:rsid w:val="0048759F"/>
    <w:rsid w:val="004930A0"/>
    <w:rsid w:val="004A7B5F"/>
    <w:rsid w:val="004B7BB4"/>
    <w:rsid w:val="004C717D"/>
    <w:rsid w:val="004D79CB"/>
    <w:rsid w:val="004E03EE"/>
    <w:rsid w:val="004E0E60"/>
    <w:rsid w:val="004E6816"/>
    <w:rsid w:val="004E6AC0"/>
    <w:rsid w:val="004E7065"/>
    <w:rsid w:val="004F5584"/>
    <w:rsid w:val="005002F5"/>
    <w:rsid w:val="0050154E"/>
    <w:rsid w:val="00512CB2"/>
    <w:rsid w:val="00530791"/>
    <w:rsid w:val="00535633"/>
    <w:rsid w:val="005538B8"/>
    <w:rsid w:val="00561828"/>
    <w:rsid w:val="0056377D"/>
    <w:rsid w:val="00570618"/>
    <w:rsid w:val="00570DF3"/>
    <w:rsid w:val="005825F9"/>
    <w:rsid w:val="005842C1"/>
    <w:rsid w:val="005A0C38"/>
    <w:rsid w:val="005A7323"/>
    <w:rsid w:val="005B08E1"/>
    <w:rsid w:val="005B4A02"/>
    <w:rsid w:val="005B66CC"/>
    <w:rsid w:val="005B6A45"/>
    <w:rsid w:val="005B6BBE"/>
    <w:rsid w:val="005D3BE3"/>
    <w:rsid w:val="0060023A"/>
    <w:rsid w:val="00602447"/>
    <w:rsid w:val="00614215"/>
    <w:rsid w:val="0061565E"/>
    <w:rsid w:val="00622735"/>
    <w:rsid w:val="0062526A"/>
    <w:rsid w:val="00631653"/>
    <w:rsid w:val="0063528D"/>
    <w:rsid w:val="00635A06"/>
    <w:rsid w:val="0064644B"/>
    <w:rsid w:val="00647AC5"/>
    <w:rsid w:val="006502F1"/>
    <w:rsid w:val="00651C64"/>
    <w:rsid w:val="00651FA7"/>
    <w:rsid w:val="00656844"/>
    <w:rsid w:val="0066282F"/>
    <w:rsid w:val="006674FF"/>
    <w:rsid w:val="006A3199"/>
    <w:rsid w:val="006C086E"/>
    <w:rsid w:val="006E71EA"/>
    <w:rsid w:val="006F0A93"/>
    <w:rsid w:val="006F1BC1"/>
    <w:rsid w:val="006F46B7"/>
    <w:rsid w:val="0071591C"/>
    <w:rsid w:val="00720785"/>
    <w:rsid w:val="00733E26"/>
    <w:rsid w:val="0073552A"/>
    <w:rsid w:val="00736824"/>
    <w:rsid w:val="00736866"/>
    <w:rsid w:val="007416E8"/>
    <w:rsid w:val="007434F3"/>
    <w:rsid w:val="007808E1"/>
    <w:rsid w:val="00780A6F"/>
    <w:rsid w:val="007A0E0A"/>
    <w:rsid w:val="007A1771"/>
    <w:rsid w:val="007B69B8"/>
    <w:rsid w:val="007B6C76"/>
    <w:rsid w:val="007C608D"/>
    <w:rsid w:val="007C70D0"/>
    <w:rsid w:val="007D60C6"/>
    <w:rsid w:val="007E0F5B"/>
    <w:rsid w:val="007F14DA"/>
    <w:rsid w:val="0080694A"/>
    <w:rsid w:val="00817E22"/>
    <w:rsid w:val="008221F2"/>
    <w:rsid w:val="00825A91"/>
    <w:rsid w:val="00847789"/>
    <w:rsid w:val="008517CF"/>
    <w:rsid w:val="00860F41"/>
    <w:rsid w:val="00866707"/>
    <w:rsid w:val="0087263E"/>
    <w:rsid w:val="00873A08"/>
    <w:rsid w:val="008772FA"/>
    <w:rsid w:val="0087767C"/>
    <w:rsid w:val="00877A00"/>
    <w:rsid w:val="00886689"/>
    <w:rsid w:val="00890EC3"/>
    <w:rsid w:val="008960B9"/>
    <w:rsid w:val="008A1774"/>
    <w:rsid w:val="008B00A0"/>
    <w:rsid w:val="008B115D"/>
    <w:rsid w:val="008C4B14"/>
    <w:rsid w:val="008D452B"/>
    <w:rsid w:val="008E7D13"/>
    <w:rsid w:val="008F3DFC"/>
    <w:rsid w:val="008F4AA9"/>
    <w:rsid w:val="008F5A2D"/>
    <w:rsid w:val="008F79C8"/>
    <w:rsid w:val="00930107"/>
    <w:rsid w:val="00932041"/>
    <w:rsid w:val="00940A70"/>
    <w:rsid w:val="0095101A"/>
    <w:rsid w:val="00952871"/>
    <w:rsid w:val="00954311"/>
    <w:rsid w:val="009545C9"/>
    <w:rsid w:val="00966999"/>
    <w:rsid w:val="0096703E"/>
    <w:rsid w:val="00971970"/>
    <w:rsid w:val="009746A4"/>
    <w:rsid w:val="00974B51"/>
    <w:rsid w:val="0098017B"/>
    <w:rsid w:val="00990396"/>
    <w:rsid w:val="00991B32"/>
    <w:rsid w:val="009A07C3"/>
    <w:rsid w:val="009C1EC8"/>
    <w:rsid w:val="009C5305"/>
    <w:rsid w:val="009E1F96"/>
    <w:rsid w:val="009F47BA"/>
    <w:rsid w:val="00A03B17"/>
    <w:rsid w:val="00A1425E"/>
    <w:rsid w:val="00A148D8"/>
    <w:rsid w:val="00A157FF"/>
    <w:rsid w:val="00A23D4B"/>
    <w:rsid w:val="00A35364"/>
    <w:rsid w:val="00A44A7E"/>
    <w:rsid w:val="00A624CE"/>
    <w:rsid w:val="00A659AD"/>
    <w:rsid w:val="00A76A84"/>
    <w:rsid w:val="00A80BEC"/>
    <w:rsid w:val="00A846F4"/>
    <w:rsid w:val="00A862A9"/>
    <w:rsid w:val="00A910FB"/>
    <w:rsid w:val="00A929B7"/>
    <w:rsid w:val="00A95C00"/>
    <w:rsid w:val="00AA005F"/>
    <w:rsid w:val="00AA4BEE"/>
    <w:rsid w:val="00AB3DCD"/>
    <w:rsid w:val="00AB489D"/>
    <w:rsid w:val="00AB6A2C"/>
    <w:rsid w:val="00AD70E1"/>
    <w:rsid w:val="00AE0847"/>
    <w:rsid w:val="00AF3827"/>
    <w:rsid w:val="00B15B70"/>
    <w:rsid w:val="00B16B49"/>
    <w:rsid w:val="00B16CDF"/>
    <w:rsid w:val="00B32C74"/>
    <w:rsid w:val="00B37A4D"/>
    <w:rsid w:val="00B539CF"/>
    <w:rsid w:val="00B72C4E"/>
    <w:rsid w:val="00B74B1A"/>
    <w:rsid w:val="00B762D2"/>
    <w:rsid w:val="00B81A8F"/>
    <w:rsid w:val="00B93FC2"/>
    <w:rsid w:val="00B9668A"/>
    <w:rsid w:val="00BA14DF"/>
    <w:rsid w:val="00BC3687"/>
    <w:rsid w:val="00BE45D3"/>
    <w:rsid w:val="00BF03AA"/>
    <w:rsid w:val="00BF5C15"/>
    <w:rsid w:val="00BF657E"/>
    <w:rsid w:val="00C0110A"/>
    <w:rsid w:val="00C10CC4"/>
    <w:rsid w:val="00C25F58"/>
    <w:rsid w:val="00C30988"/>
    <w:rsid w:val="00C606BE"/>
    <w:rsid w:val="00C6229D"/>
    <w:rsid w:val="00C7788D"/>
    <w:rsid w:val="00C8272A"/>
    <w:rsid w:val="00CB3633"/>
    <w:rsid w:val="00CC5ABE"/>
    <w:rsid w:val="00CD7C41"/>
    <w:rsid w:val="00CE1926"/>
    <w:rsid w:val="00CE2257"/>
    <w:rsid w:val="00CE6C12"/>
    <w:rsid w:val="00D04F65"/>
    <w:rsid w:val="00D07658"/>
    <w:rsid w:val="00D146B0"/>
    <w:rsid w:val="00D305F6"/>
    <w:rsid w:val="00D33BDB"/>
    <w:rsid w:val="00D34E8A"/>
    <w:rsid w:val="00D4228D"/>
    <w:rsid w:val="00D507E7"/>
    <w:rsid w:val="00D53B51"/>
    <w:rsid w:val="00D57D07"/>
    <w:rsid w:val="00D67CE5"/>
    <w:rsid w:val="00D7263B"/>
    <w:rsid w:val="00D7516B"/>
    <w:rsid w:val="00D81736"/>
    <w:rsid w:val="00D875B0"/>
    <w:rsid w:val="00DC08D3"/>
    <w:rsid w:val="00DC1567"/>
    <w:rsid w:val="00DD514C"/>
    <w:rsid w:val="00DE744C"/>
    <w:rsid w:val="00E01CC0"/>
    <w:rsid w:val="00E14BEC"/>
    <w:rsid w:val="00E31820"/>
    <w:rsid w:val="00E341AA"/>
    <w:rsid w:val="00E45C42"/>
    <w:rsid w:val="00E52AFC"/>
    <w:rsid w:val="00E569F7"/>
    <w:rsid w:val="00E6155D"/>
    <w:rsid w:val="00E71549"/>
    <w:rsid w:val="00E82A5B"/>
    <w:rsid w:val="00E834E3"/>
    <w:rsid w:val="00E85894"/>
    <w:rsid w:val="00E87F1E"/>
    <w:rsid w:val="00E97EB8"/>
    <w:rsid w:val="00EA3D4C"/>
    <w:rsid w:val="00EA4FDD"/>
    <w:rsid w:val="00EB0730"/>
    <w:rsid w:val="00EB2AD7"/>
    <w:rsid w:val="00EB2FB7"/>
    <w:rsid w:val="00EB627E"/>
    <w:rsid w:val="00EB69F2"/>
    <w:rsid w:val="00EB7AF2"/>
    <w:rsid w:val="00ED273B"/>
    <w:rsid w:val="00EE374B"/>
    <w:rsid w:val="00EF5BF2"/>
    <w:rsid w:val="00F03E0E"/>
    <w:rsid w:val="00F05464"/>
    <w:rsid w:val="00F20E7F"/>
    <w:rsid w:val="00F26C4C"/>
    <w:rsid w:val="00F340BA"/>
    <w:rsid w:val="00F34F68"/>
    <w:rsid w:val="00F37C9C"/>
    <w:rsid w:val="00F4574A"/>
    <w:rsid w:val="00F64701"/>
    <w:rsid w:val="00F64CF3"/>
    <w:rsid w:val="00F77209"/>
    <w:rsid w:val="00F8448A"/>
    <w:rsid w:val="00F93EEE"/>
    <w:rsid w:val="00FB2716"/>
    <w:rsid w:val="00FC25A2"/>
    <w:rsid w:val="00FC2DE7"/>
    <w:rsid w:val="00FC3E60"/>
    <w:rsid w:val="00FE182C"/>
    <w:rsid w:val="00FE7B58"/>
    <w:rsid w:val="00FF318C"/>
    <w:rsid w:val="00FF3A68"/>
    <w:rsid w:val="00FF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8774C52"/>
  <w15:chartTrackingRefBased/>
  <w15:docId w15:val="{BAF27D2A-83C9-4200-B661-32FB2F12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896"/>
    <w:pPr>
      <w:spacing w:after="0" w:line="240" w:lineRule="auto"/>
    </w:pPr>
    <w:rPr>
      <w:rFonts w:ascii="Times New Roman" w:hAnsi="Times New Roman" w:cs="Times New Roman"/>
      <w:sz w:val="24"/>
      <w:szCs w:val="24"/>
      <w:lang w:eastAsia="en-GB"/>
    </w:rPr>
  </w:style>
  <w:style w:type="paragraph" w:styleId="Ttulo1">
    <w:name w:val="heading 1"/>
    <w:basedOn w:val="Normal"/>
    <w:next w:val="Normal"/>
    <w:link w:val="Ttulo1Carter"/>
    <w:uiPriority w:val="9"/>
    <w:qFormat/>
    <w:rsid w:val="00F64C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F64C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F64CF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F64C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ter"/>
    <w:uiPriority w:val="9"/>
    <w:semiHidden/>
    <w:unhideWhenUsed/>
    <w:qFormat/>
    <w:rsid w:val="00F64CF3"/>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ter"/>
    <w:uiPriority w:val="9"/>
    <w:semiHidden/>
    <w:unhideWhenUsed/>
    <w:qFormat/>
    <w:rsid w:val="00F64CF3"/>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ter"/>
    <w:uiPriority w:val="9"/>
    <w:semiHidden/>
    <w:unhideWhenUsed/>
    <w:qFormat/>
    <w:rsid w:val="00F64CF3"/>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ter"/>
    <w:uiPriority w:val="9"/>
    <w:semiHidden/>
    <w:unhideWhenUsed/>
    <w:qFormat/>
    <w:rsid w:val="00F64CF3"/>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ter"/>
    <w:uiPriority w:val="9"/>
    <w:semiHidden/>
    <w:unhideWhenUsed/>
    <w:qFormat/>
    <w:rsid w:val="00F64CF3"/>
    <w:pPr>
      <w:keepNext/>
      <w:keepLines/>
      <w:outlineLvl w:val="8"/>
    </w:pPr>
    <w:rPr>
      <w:rFonts w:asciiTheme="minorHAnsi" w:eastAsiaTheme="majorEastAsia" w:hAnsiTheme="minorHAnsi"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7416E8"/>
    <w:pPr>
      <w:tabs>
        <w:tab w:val="center" w:pos="4419"/>
        <w:tab w:val="right" w:pos="8838"/>
      </w:tabs>
    </w:pPr>
    <w:rPr>
      <w:rFonts w:ascii="Cambria" w:eastAsia="MS Mincho" w:hAnsi="Cambria"/>
      <w:lang w:val="pt-PT" w:eastAsia="es-ES"/>
    </w:rPr>
  </w:style>
  <w:style w:type="character" w:customStyle="1" w:styleId="CabealhoCarter">
    <w:name w:val="Cabeçalho Caráter"/>
    <w:basedOn w:val="Tipodeletrapredefinidodopargrafo"/>
    <w:link w:val="Cabealho"/>
    <w:uiPriority w:val="99"/>
    <w:rsid w:val="007416E8"/>
  </w:style>
  <w:style w:type="paragraph" w:styleId="Rodap">
    <w:name w:val="footer"/>
    <w:basedOn w:val="Normal"/>
    <w:link w:val="RodapCarter"/>
    <w:uiPriority w:val="99"/>
    <w:unhideWhenUsed/>
    <w:rsid w:val="007416E8"/>
    <w:pPr>
      <w:tabs>
        <w:tab w:val="center" w:pos="4419"/>
        <w:tab w:val="right" w:pos="8838"/>
      </w:tabs>
    </w:pPr>
    <w:rPr>
      <w:rFonts w:ascii="Cambria" w:eastAsia="MS Mincho" w:hAnsi="Cambria"/>
      <w:lang w:val="pt-PT" w:eastAsia="es-ES"/>
    </w:rPr>
  </w:style>
  <w:style w:type="character" w:customStyle="1" w:styleId="RodapCarter">
    <w:name w:val="Rodapé Caráter"/>
    <w:basedOn w:val="Tipodeletrapredefinidodopargrafo"/>
    <w:link w:val="Rodap"/>
    <w:uiPriority w:val="99"/>
    <w:rsid w:val="007416E8"/>
  </w:style>
  <w:style w:type="character" w:styleId="Hiperligao">
    <w:name w:val="Hyperlink"/>
    <w:basedOn w:val="Tipodeletrapredefinidodopargrafo"/>
    <w:uiPriority w:val="99"/>
    <w:unhideWhenUsed/>
    <w:rsid w:val="00EF5BF2"/>
    <w:rPr>
      <w:color w:val="0563C1" w:themeColor="hyperlink"/>
      <w:u w:val="single"/>
    </w:rPr>
  </w:style>
  <w:style w:type="paragraph" w:styleId="PargrafodaLista">
    <w:name w:val="List Paragraph"/>
    <w:basedOn w:val="Normal"/>
    <w:uiPriority w:val="34"/>
    <w:qFormat/>
    <w:rsid w:val="00EF5BF2"/>
    <w:pPr>
      <w:ind w:left="720"/>
      <w:contextualSpacing/>
    </w:pPr>
    <w:rPr>
      <w:rFonts w:ascii="Cambria" w:eastAsia="MS Mincho" w:hAnsi="Cambria"/>
      <w:lang w:val="pt-PT" w:eastAsia="es-ES"/>
    </w:rPr>
  </w:style>
  <w:style w:type="paragraph" w:styleId="Textodenotadefim">
    <w:name w:val="endnote text"/>
    <w:basedOn w:val="Normal"/>
    <w:link w:val="TextodenotadefimCarter"/>
    <w:uiPriority w:val="99"/>
    <w:semiHidden/>
    <w:unhideWhenUsed/>
    <w:rsid w:val="007A0E0A"/>
    <w:rPr>
      <w:rFonts w:ascii="Century Gothic" w:eastAsiaTheme="minorEastAsia" w:hAnsi="Century Gothic" w:cstheme="minorBidi"/>
      <w:sz w:val="20"/>
      <w:szCs w:val="20"/>
      <w:lang w:val="es-ES_tradnl"/>
    </w:rPr>
  </w:style>
  <w:style w:type="character" w:customStyle="1" w:styleId="TextodenotadefimCarter">
    <w:name w:val="Texto de nota de fim Caráter"/>
    <w:basedOn w:val="Tipodeletrapredefinidodopargrafo"/>
    <w:link w:val="Textodenotadefim"/>
    <w:uiPriority w:val="99"/>
    <w:semiHidden/>
    <w:rsid w:val="007A0E0A"/>
    <w:rPr>
      <w:rFonts w:ascii="Century Gothic" w:eastAsiaTheme="minorEastAsia" w:hAnsi="Century Gothic"/>
      <w:sz w:val="20"/>
      <w:szCs w:val="20"/>
      <w:lang w:val="es-ES_tradnl" w:eastAsia="es-ES"/>
    </w:rPr>
  </w:style>
  <w:style w:type="character" w:styleId="Refdenotadefim">
    <w:name w:val="endnote reference"/>
    <w:basedOn w:val="Tipodeletrapredefinidodopargrafo"/>
    <w:uiPriority w:val="99"/>
    <w:semiHidden/>
    <w:unhideWhenUsed/>
    <w:rsid w:val="007A0E0A"/>
    <w:rPr>
      <w:vertAlign w:val="superscript"/>
    </w:rPr>
  </w:style>
  <w:style w:type="table" w:styleId="TabelacomGrelha">
    <w:name w:val="Table Grid"/>
    <w:basedOn w:val="Tabelanormal"/>
    <w:uiPriority w:val="39"/>
    <w:rsid w:val="00CE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336D"/>
    <w:pPr>
      <w:spacing w:before="100" w:beforeAutospacing="1" w:after="100" w:afterAutospacing="1"/>
    </w:pPr>
  </w:style>
  <w:style w:type="character" w:styleId="nfase">
    <w:name w:val="Emphasis"/>
    <w:basedOn w:val="Tipodeletrapredefinidodopargrafo"/>
    <w:uiPriority w:val="20"/>
    <w:qFormat/>
    <w:rsid w:val="000B336D"/>
    <w:rPr>
      <w:i/>
      <w:iCs/>
    </w:rPr>
  </w:style>
  <w:style w:type="character" w:styleId="Forte">
    <w:name w:val="Strong"/>
    <w:basedOn w:val="Tipodeletrapredefinidodopargrafo"/>
    <w:uiPriority w:val="22"/>
    <w:qFormat/>
    <w:rsid w:val="000B336D"/>
    <w:rPr>
      <w:b/>
      <w:bCs/>
    </w:rPr>
  </w:style>
  <w:style w:type="character" w:customStyle="1" w:styleId="Ttulo1Carter">
    <w:name w:val="Título 1 Caráter"/>
    <w:basedOn w:val="Tipodeletrapredefinidodopargrafo"/>
    <w:link w:val="Ttulo1"/>
    <w:uiPriority w:val="9"/>
    <w:rsid w:val="00F64CF3"/>
    <w:rPr>
      <w:rFonts w:asciiTheme="majorHAnsi" w:eastAsiaTheme="majorEastAsia" w:hAnsiTheme="majorHAnsi" w:cstheme="majorBidi"/>
      <w:color w:val="2F5496" w:themeColor="accent1" w:themeShade="BF"/>
      <w:sz w:val="40"/>
      <w:szCs w:val="40"/>
      <w:lang w:eastAsia="en-GB"/>
    </w:rPr>
  </w:style>
  <w:style w:type="character" w:customStyle="1" w:styleId="Ttulo2Carter">
    <w:name w:val="Título 2 Caráter"/>
    <w:basedOn w:val="Tipodeletrapredefinidodopargrafo"/>
    <w:link w:val="Ttulo2"/>
    <w:uiPriority w:val="9"/>
    <w:semiHidden/>
    <w:rsid w:val="00F64CF3"/>
    <w:rPr>
      <w:rFonts w:asciiTheme="majorHAnsi" w:eastAsiaTheme="majorEastAsia" w:hAnsiTheme="majorHAnsi" w:cstheme="majorBidi"/>
      <w:color w:val="2F5496" w:themeColor="accent1" w:themeShade="BF"/>
      <w:sz w:val="32"/>
      <w:szCs w:val="32"/>
      <w:lang w:eastAsia="en-GB"/>
    </w:rPr>
  </w:style>
  <w:style w:type="character" w:customStyle="1" w:styleId="Ttulo3Carter">
    <w:name w:val="Título 3 Caráter"/>
    <w:basedOn w:val="Tipodeletrapredefinidodopargrafo"/>
    <w:link w:val="Ttulo3"/>
    <w:uiPriority w:val="9"/>
    <w:semiHidden/>
    <w:rsid w:val="00F64CF3"/>
    <w:rPr>
      <w:rFonts w:eastAsiaTheme="majorEastAsia" w:cstheme="majorBidi"/>
      <w:color w:val="2F5496" w:themeColor="accent1" w:themeShade="BF"/>
      <w:sz w:val="28"/>
      <w:szCs w:val="28"/>
      <w:lang w:eastAsia="en-GB"/>
    </w:rPr>
  </w:style>
  <w:style w:type="character" w:customStyle="1" w:styleId="Ttulo4Carter">
    <w:name w:val="Título 4 Caráter"/>
    <w:basedOn w:val="Tipodeletrapredefinidodopargrafo"/>
    <w:link w:val="Ttulo4"/>
    <w:uiPriority w:val="9"/>
    <w:semiHidden/>
    <w:rsid w:val="00F64CF3"/>
    <w:rPr>
      <w:rFonts w:eastAsiaTheme="majorEastAsia" w:cstheme="majorBidi"/>
      <w:i/>
      <w:iCs/>
      <w:color w:val="2F5496" w:themeColor="accent1" w:themeShade="BF"/>
      <w:sz w:val="24"/>
      <w:szCs w:val="24"/>
      <w:lang w:eastAsia="en-GB"/>
    </w:rPr>
  </w:style>
  <w:style w:type="character" w:customStyle="1" w:styleId="Ttulo5Carter">
    <w:name w:val="Título 5 Caráter"/>
    <w:basedOn w:val="Tipodeletrapredefinidodopargrafo"/>
    <w:link w:val="Ttulo5"/>
    <w:uiPriority w:val="9"/>
    <w:semiHidden/>
    <w:rsid w:val="00F64CF3"/>
    <w:rPr>
      <w:rFonts w:eastAsiaTheme="majorEastAsia" w:cstheme="majorBidi"/>
      <w:color w:val="2F5496" w:themeColor="accent1" w:themeShade="BF"/>
      <w:sz w:val="24"/>
      <w:szCs w:val="24"/>
      <w:lang w:eastAsia="en-GB"/>
    </w:rPr>
  </w:style>
  <w:style w:type="character" w:customStyle="1" w:styleId="Ttulo6Carter">
    <w:name w:val="Título 6 Caráter"/>
    <w:basedOn w:val="Tipodeletrapredefinidodopargrafo"/>
    <w:link w:val="Ttulo6"/>
    <w:uiPriority w:val="9"/>
    <w:semiHidden/>
    <w:rsid w:val="00F64CF3"/>
    <w:rPr>
      <w:rFonts w:eastAsiaTheme="majorEastAsia" w:cstheme="majorBidi"/>
      <w:i/>
      <w:iCs/>
      <w:color w:val="595959" w:themeColor="text1" w:themeTint="A6"/>
      <w:sz w:val="24"/>
      <w:szCs w:val="24"/>
      <w:lang w:eastAsia="en-GB"/>
    </w:rPr>
  </w:style>
  <w:style w:type="character" w:customStyle="1" w:styleId="Ttulo7Carter">
    <w:name w:val="Título 7 Caráter"/>
    <w:basedOn w:val="Tipodeletrapredefinidodopargrafo"/>
    <w:link w:val="Ttulo7"/>
    <w:uiPriority w:val="9"/>
    <w:semiHidden/>
    <w:rsid w:val="00F64CF3"/>
    <w:rPr>
      <w:rFonts w:eastAsiaTheme="majorEastAsia" w:cstheme="majorBidi"/>
      <w:color w:val="595959" w:themeColor="text1" w:themeTint="A6"/>
      <w:sz w:val="24"/>
      <w:szCs w:val="24"/>
      <w:lang w:eastAsia="en-GB"/>
    </w:rPr>
  </w:style>
  <w:style w:type="character" w:customStyle="1" w:styleId="Ttulo8Carter">
    <w:name w:val="Título 8 Caráter"/>
    <w:basedOn w:val="Tipodeletrapredefinidodopargrafo"/>
    <w:link w:val="Ttulo8"/>
    <w:uiPriority w:val="9"/>
    <w:semiHidden/>
    <w:rsid w:val="00F64CF3"/>
    <w:rPr>
      <w:rFonts w:eastAsiaTheme="majorEastAsia" w:cstheme="majorBidi"/>
      <w:i/>
      <w:iCs/>
      <w:color w:val="272727" w:themeColor="text1" w:themeTint="D8"/>
      <w:sz w:val="24"/>
      <w:szCs w:val="24"/>
      <w:lang w:eastAsia="en-GB"/>
    </w:rPr>
  </w:style>
  <w:style w:type="character" w:customStyle="1" w:styleId="Ttulo9Carter">
    <w:name w:val="Título 9 Caráter"/>
    <w:basedOn w:val="Tipodeletrapredefinidodopargrafo"/>
    <w:link w:val="Ttulo9"/>
    <w:uiPriority w:val="9"/>
    <w:semiHidden/>
    <w:rsid w:val="00F64CF3"/>
    <w:rPr>
      <w:rFonts w:eastAsiaTheme="majorEastAsia" w:cstheme="majorBidi"/>
      <w:color w:val="272727" w:themeColor="text1" w:themeTint="D8"/>
      <w:sz w:val="24"/>
      <w:szCs w:val="24"/>
      <w:lang w:eastAsia="en-GB"/>
    </w:rPr>
  </w:style>
  <w:style w:type="paragraph" w:styleId="Ttulo">
    <w:name w:val="Title"/>
    <w:basedOn w:val="Normal"/>
    <w:next w:val="Normal"/>
    <w:link w:val="TtuloCarter"/>
    <w:uiPriority w:val="10"/>
    <w:qFormat/>
    <w:rsid w:val="00F64CF3"/>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F64CF3"/>
    <w:rPr>
      <w:rFonts w:asciiTheme="majorHAnsi" w:eastAsiaTheme="majorEastAsia" w:hAnsiTheme="majorHAnsi" w:cstheme="majorBidi"/>
      <w:spacing w:val="-10"/>
      <w:kern w:val="28"/>
      <w:sz w:val="56"/>
      <w:szCs w:val="56"/>
      <w:lang w:eastAsia="en-GB"/>
    </w:rPr>
  </w:style>
  <w:style w:type="paragraph" w:styleId="Subttulo">
    <w:name w:val="Subtitle"/>
    <w:basedOn w:val="Normal"/>
    <w:next w:val="Normal"/>
    <w:link w:val="SubttuloCarter"/>
    <w:uiPriority w:val="11"/>
    <w:qFormat/>
    <w:rsid w:val="00F64C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F64CF3"/>
    <w:rPr>
      <w:rFonts w:eastAsiaTheme="majorEastAsia" w:cstheme="majorBidi"/>
      <w:color w:val="595959" w:themeColor="text1" w:themeTint="A6"/>
      <w:spacing w:val="15"/>
      <w:sz w:val="28"/>
      <w:szCs w:val="28"/>
      <w:lang w:eastAsia="en-GB"/>
    </w:rPr>
  </w:style>
  <w:style w:type="paragraph" w:styleId="Citao">
    <w:name w:val="Quote"/>
    <w:basedOn w:val="Normal"/>
    <w:next w:val="Normal"/>
    <w:link w:val="CitaoCarter"/>
    <w:uiPriority w:val="29"/>
    <w:qFormat/>
    <w:rsid w:val="00F64CF3"/>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F64CF3"/>
    <w:rPr>
      <w:rFonts w:ascii="Times New Roman" w:hAnsi="Times New Roman" w:cs="Times New Roman"/>
      <w:i/>
      <w:iCs/>
      <w:color w:val="404040" w:themeColor="text1" w:themeTint="BF"/>
      <w:sz w:val="24"/>
      <w:szCs w:val="24"/>
      <w:lang w:eastAsia="en-GB"/>
    </w:rPr>
  </w:style>
  <w:style w:type="character" w:styleId="nfaseIntensa">
    <w:name w:val="Intense Emphasis"/>
    <w:basedOn w:val="Tipodeletrapredefinidodopargrafo"/>
    <w:uiPriority w:val="21"/>
    <w:qFormat/>
    <w:rsid w:val="00F64CF3"/>
    <w:rPr>
      <w:i/>
      <w:iCs/>
      <w:color w:val="2F5496" w:themeColor="accent1" w:themeShade="BF"/>
    </w:rPr>
  </w:style>
  <w:style w:type="paragraph" w:styleId="CitaoIntensa">
    <w:name w:val="Intense Quote"/>
    <w:basedOn w:val="Normal"/>
    <w:next w:val="Normal"/>
    <w:link w:val="CitaoIntensaCarter"/>
    <w:uiPriority w:val="30"/>
    <w:qFormat/>
    <w:rsid w:val="00F64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F64CF3"/>
    <w:rPr>
      <w:rFonts w:ascii="Times New Roman" w:hAnsi="Times New Roman" w:cs="Times New Roman"/>
      <w:i/>
      <w:iCs/>
      <w:color w:val="2F5496" w:themeColor="accent1" w:themeShade="BF"/>
      <w:sz w:val="24"/>
      <w:szCs w:val="24"/>
      <w:lang w:eastAsia="en-GB"/>
    </w:rPr>
  </w:style>
  <w:style w:type="character" w:styleId="RefernciaIntensa">
    <w:name w:val="Intense Reference"/>
    <w:basedOn w:val="Tipodeletrapredefinidodopargrafo"/>
    <w:uiPriority w:val="32"/>
    <w:qFormat/>
    <w:rsid w:val="00F64CF3"/>
    <w:rPr>
      <w:b/>
      <w:bCs/>
      <w:smallCaps/>
      <w:color w:val="2F5496" w:themeColor="accent1" w:themeShade="BF"/>
      <w:spacing w:val="5"/>
    </w:rPr>
  </w:style>
  <w:style w:type="character" w:styleId="MenoNoResolvida">
    <w:name w:val="Unresolved Mention"/>
    <w:basedOn w:val="Tipodeletrapredefinidodopargrafo"/>
    <w:uiPriority w:val="99"/>
    <w:rsid w:val="00F64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5902">
      <w:bodyDiv w:val="1"/>
      <w:marLeft w:val="0"/>
      <w:marRight w:val="0"/>
      <w:marTop w:val="0"/>
      <w:marBottom w:val="0"/>
      <w:divBdr>
        <w:top w:val="none" w:sz="0" w:space="0" w:color="auto"/>
        <w:left w:val="none" w:sz="0" w:space="0" w:color="auto"/>
        <w:bottom w:val="none" w:sz="0" w:space="0" w:color="auto"/>
        <w:right w:val="none" w:sz="0" w:space="0" w:color="auto"/>
      </w:divBdr>
    </w:div>
    <w:div w:id="301154006">
      <w:bodyDiv w:val="1"/>
      <w:marLeft w:val="0"/>
      <w:marRight w:val="0"/>
      <w:marTop w:val="0"/>
      <w:marBottom w:val="0"/>
      <w:divBdr>
        <w:top w:val="none" w:sz="0" w:space="0" w:color="auto"/>
        <w:left w:val="none" w:sz="0" w:space="0" w:color="auto"/>
        <w:bottom w:val="none" w:sz="0" w:space="0" w:color="auto"/>
        <w:right w:val="none" w:sz="0" w:space="0" w:color="auto"/>
      </w:divBdr>
    </w:div>
    <w:div w:id="869882100">
      <w:bodyDiv w:val="1"/>
      <w:marLeft w:val="0"/>
      <w:marRight w:val="0"/>
      <w:marTop w:val="0"/>
      <w:marBottom w:val="0"/>
      <w:divBdr>
        <w:top w:val="none" w:sz="0" w:space="0" w:color="auto"/>
        <w:left w:val="none" w:sz="0" w:space="0" w:color="auto"/>
        <w:bottom w:val="none" w:sz="0" w:space="0" w:color="auto"/>
        <w:right w:val="none" w:sz="0" w:space="0" w:color="auto"/>
      </w:divBdr>
    </w:div>
    <w:div w:id="917059302">
      <w:bodyDiv w:val="1"/>
      <w:marLeft w:val="0"/>
      <w:marRight w:val="0"/>
      <w:marTop w:val="0"/>
      <w:marBottom w:val="0"/>
      <w:divBdr>
        <w:top w:val="none" w:sz="0" w:space="0" w:color="auto"/>
        <w:left w:val="none" w:sz="0" w:space="0" w:color="auto"/>
        <w:bottom w:val="none" w:sz="0" w:space="0" w:color="auto"/>
        <w:right w:val="none" w:sz="0" w:space="0" w:color="auto"/>
      </w:divBdr>
    </w:div>
    <w:div w:id="1055928088">
      <w:bodyDiv w:val="1"/>
      <w:marLeft w:val="0"/>
      <w:marRight w:val="0"/>
      <w:marTop w:val="0"/>
      <w:marBottom w:val="0"/>
      <w:divBdr>
        <w:top w:val="none" w:sz="0" w:space="0" w:color="auto"/>
        <w:left w:val="none" w:sz="0" w:space="0" w:color="auto"/>
        <w:bottom w:val="none" w:sz="0" w:space="0" w:color="auto"/>
        <w:right w:val="none" w:sz="0" w:space="0" w:color="auto"/>
      </w:divBdr>
    </w:div>
    <w:div w:id="1337346754">
      <w:bodyDiv w:val="1"/>
      <w:marLeft w:val="0"/>
      <w:marRight w:val="0"/>
      <w:marTop w:val="0"/>
      <w:marBottom w:val="0"/>
      <w:divBdr>
        <w:top w:val="none" w:sz="0" w:space="0" w:color="auto"/>
        <w:left w:val="none" w:sz="0" w:space="0" w:color="auto"/>
        <w:bottom w:val="none" w:sz="0" w:space="0" w:color="auto"/>
        <w:right w:val="none" w:sz="0" w:space="0" w:color="auto"/>
      </w:divBdr>
    </w:div>
    <w:div w:id="1974406982">
      <w:bodyDiv w:val="1"/>
      <w:marLeft w:val="0"/>
      <w:marRight w:val="0"/>
      <w:marTop w:val="0"/>
      <w:marBottom w:val="0"/>
      <w:divBdr>
        <w:top w:val="none" w:sz="0" w:space="0" w:color="auto"/>
        <w:left w:val="none" w:sz="0" w:space="0" w:color="auto"/>
        <w:bottom w:val="none" w:sz="0" w:space="0" w:color="auto"/>
        <w:right w:val="none" w:sz="0" w:space="0" w:color="auto"/>
      </w:divBdr>
    </w:div>
    <w:div w:id="2031174741">
      <w:bodyDiv w:val="1"/>
      <w:marLeft w:val="0"/>
      <w:marRight w:val="0"/>
      <w:marTop w:val="0"/>
      <w:marBottom w:val="0"/>
      <w:divBdr>
        <w:top w:val="none" w:sz="0" w:space="0" w:color="auto"/>
        <w:left w:val="none" w:sz="0" w:space="0" w:color="auto"/>
        <w:bottom w:val="none" w:sz="0" w:space="0" w:color="auto"/>
        <w:right w:val="none" w:sz="0" w:space="0" w:color="auto"/>
      </w:divBdr>
    </w:div>
    <w:div w:id="2046827318">
      <w:bodyDiv w:val="1"/>
      <w:marLeft w:val="0"/>
      <w:marRight w:val="0"/>
      <w:marTop w:val="0"/>
      <w:marBottom w:val="0"/>
      <w:divBdr>
        <w:top w:val="none" w:sz="0" w:space="0" w:color="auto"/>
        <w:left w:val="none" w:sz="0" w:space="0" w:color="auto"/>
        <w:bottom w:val="none" w:sz="0" w:space="0" w:color="auto"/>
        <w:right w:val="none" w:sz="0" w:space="0" w:color="auto"/>
      </w:divBdr>
    </w:div>
    <w:div w:id="214133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C2BA41CD94EEC488E1691F93E545155" ma:contentTypeVersion="13" ma:contentTypeDescription="Criar um novo documento." ma:contentTypeScope="" ma:versionID="679de92f67605785603947627c4d7276">
  <xsd:schema xmlns:xsd="http://www.w3.org/2001/XMLSchema" xmlns:xs="http://www.w3.org/2001/XMLSchema" xmlns:p="http://schemas.microsoft.com/office/2006/metadata/properties" xmlns:ns3="eb227d65-5291-42f7-9501-719d6cbfc1d1" xmlns:ns4="f2d8a5d3-3c0d-4181-bd7a-3887e22dd4a6" targetNamespace="http://schemas.microsoft.com/office/2006/metadata/properties" ma:root="true" ma:fieldsID="ce7b39c30af0cea8ec2c386f06211e33" ns3:_="" ns4:_="">
    <xsd:import namespace="eb227d65-5291-42f7-9501-719d6cbfc1d1"/>
    <xsd:import namespace="f2d8a5d3-3c0d-4181-bd7a-3887e22dd4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27d65-5291-42f7-9501-719d6cbfc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d8a5d3-3c0d-4181-bd7a-3887e22dd4a6"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SharingHintHash" ma:index="16"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5403A-029A-4778-8325-6ABDA37D2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27d65-5291-42f7-9501-719d6cbfc1d1"/>
    <ds:schemaRef ds:uri="f2d8a5d3-3c0d-4181-bd7a-3887e22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730C2-22DF-44CC-8F9B-51C820E720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353031-3900-411F-8564-841F5BB43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715</Words>
  <Characters>3865</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ADCE Word Base Template</dc:title>
  <dc:subject/>
  <dc:creator>AdCE</dc:creator>
  <cp:keywords>ADCE Word Base Template</cp:keywords>
  <dc:description/>
  <cp:lastModifiedBy>AdCE</cp:lastModifiedBy>
  <cp:revision>37</cp:revision>
  <dcterms:created xsi:type="dcterms:W3CDTF">2025-05-14T07:41:00Z</dcterms:created>
  <dcterms:modified xsi:type="dcterms:W3CDTF">2025-07-04T12:08:00Z</dcterms:modified>
</cp:coreProperties>
</file>