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ED39" w14:textId="77777777" w:rsidR="00050077" w:rsidRDefault="00050077" w:rsidP="00050077">
      <w:pPr>
        <w:pStyle w:val="p1"/>
        <w:spacing w:line="36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22F5385" w14:textId="5E549273" w:rsidR="00050077" w:rsidRPr="00050077" w:rsidRDefault="00050077" w:rsidP="00050077">
      <w:pPr>
        <w:pStyle w:val="p1"/>
        <w:spacing w:line="36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050077">
        <w:rPr>
          <w:rFonts w:ascii="Century Gothic" w:hAnsi="Century Gothic" w:cs="Arial"/>
          <w:b/>
          <w:bCs/>
          <w:color w:val="000000"/>
          <w:sz w:val="28"/>
          <w:szCs w:val="28"/>
        </w:rPr>
        <w:t>LA GESTIÓN DE RESIDUOS EN LA UE: SITUACIÓN ACTUAL</w:t>
      </w:r>
    </w:p>
    <w:p w14:paraId="5FA344B7" w14:textId="6D833172" w:rsidR="00050077" w:rsidRPr="00050077" w:rsidRDefault="00050077" w:rsidP="00050077">
      <w:pPr>
        <w:pStyle w:val="p3"/>
        <w:spacing w:line="360" w:lineRule="auto"/>
        <w:ind w:firstLine="7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La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gestión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050077">
        <w:rPr>
          <w:rFonts w:ascii="Century Gothic" w:hAnsi="Century Gothic" w:cs="Arial"/>
          <w:color w:val="000000"/>
          <w:sz w:val="20"/>
          <w:szCs w:val="20"/>
        </w:rPr>
        <w:t>ha</w:t>
      </w:r>
      <w:proofErr w:type="spellEnd"/>
      <w:proofErr w:type="gram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sido,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los últimos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años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una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prioridad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dentro de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Europea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el objetivo de promover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economía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circular,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reducir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el impacto ambiental y preparar a los Estados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miembros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para los objetivos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sostenibilidad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fijados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para 2030.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cambios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son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profundos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tendrán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impacto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directo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consumidores, empresas y entidades públicas. Por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ello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destacamos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algunas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medidas legislativas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europeas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esta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materia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abarcan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diversos sectores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actividad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2E146AA" w14:textId="258BDC59" w:rsidR="00050077" w:rsidRPr="00050077" w:rsidRDefault="00050077" w:rsidP="00050077">
      <w:pPr>
        <w:pStyle w:val="p3"/>
        <w:spacing w:line="360" w:lineRule="auto"/>
        <w:ind w:firstLine="7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Century Gothic" w:hAnsi="Century Gothic" w:cs="Arial"/>
          <w:color w:val="000000"/>
          <w:sz w:val="20"/>
          <w:szCs w:val="20"/>
        </w:rPr>
        <w:t>El</w:t>
      </w:r>
      <w:r w:rsidRPr="00050077">
        <w:rPr>
          <w:rStyle w:val="apple-converted-space"/>
          <w:rFonts w:ascii="Century Gothic" w:hAnsi="Century Gothic" w:cs="Arial"/>
          <w:color w:val="000000"/>
          <w:sz w:val="20"/>
          <w:szCs w:val="20"/>
        </w:rPr>
        <w:t> </w:t>
      </w:r>
      <w:proofErr w:type="spellStart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Reglamento</w:t>
      </w:r>
      <w:proofErr w:type="spellEnd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 xml:space="preserve"> (UE) 2025/40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relativo a los envases y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de envases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será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aplicable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a partir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del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12 de agosto de 2026, salvo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extensión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al poliestireno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extruido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(XPS) de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prohibición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ciertos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envases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alimentarios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de poliestireno expandido (EPS), que solo se aplicará a partir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del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12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febrero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de 2029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. Este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reglamento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establece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nuevas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normas para los envases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Europea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. Destacamos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algunas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ellas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:</w:t>
      </w:r>
    </w:p>
    <w:p w14:paraId="2760B875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partir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12 de agosto de 2026, estará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prohibida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comercialización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envases destinados al contacto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alimentos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contengan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sustancias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perfluoroalquiladas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polifluoroalquiladas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(PFAS) por encima de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límites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máximos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establecidos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44912C08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Para 2030 y 2040, se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fijarán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objetivos sobre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porcentaje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mínimo de material reciclado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envases de plástico, como por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ejemplo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botellas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10530C58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Los envases comercializados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deberán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incluir una etiqueta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armonizada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información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sobre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composición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materiales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para facilitar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separación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reciclaje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. Esta etiqueta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deberá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basarse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pictogramas y ser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accesible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para personas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discapacidad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D0D52D9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Se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prevén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requisitos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responsabilidad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ampliada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productor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incluyendo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contribuciones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financieras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obligatorias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y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obligación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cada Estado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miembro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crear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“</w:t>
      </w:r>
      <w:proofErr w:type="gramStart"/>
      <w:r w:rsidRPr="00050077">
        <w:rPr>
          <w:rFonts w:ascii="Century Gothic" w:hAnsi="Century Gothic" w:cs="Arial"/>
          <w:color w:val="000000"/>
          <w:sz w:val="20"/>
          <w:szCs w:val="20"/>
        </w:rPr>
        <w:t>registro</w:t>
      </w:r>
      <w:proofErr w:type="gram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nacional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productores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”,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el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deberán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inscribirse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todos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productores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introduzcan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envases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el mercado.</w:t>
      </w:r>
    </w:p>
    <w:p w14:paraId="63304897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También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se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establecen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objetivos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reutilización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para sectores específicos, como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restauración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el </w:t>
      </w:r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comercio minorista</w:t>
      </w:r>
      <w:r w:rsidRPr="0005007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4E5DA910" w14:textId="77777777" w:rsidR="00050077" w:rsidRPr="00050077" w:rsidRDefault="00050077" w:rsidP="00050077">
      <w:pPr>
        <w:pStyle w:val="p2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8A5DD56" w14:textId="019106F8" w:rsidR="00050077" w:rsidRPr="00050077" w:rsidRDefault="00050077" w:rsidP="00050077">
      <w:pPr>
        <w:pStyle w:val="p3"/>
        <w:spacing w:line="360" w:lineRule="auto"/>
        <w:ind w:firstLine="7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Century Gothic" w:hAnsi="Century Gothic" w:cs="Arial"/>
          <w:color w:val="000000"/>
          <w:sz w:val="20"/>
          <w:szCs w:val="20"/>
        </w:rPr>
        <w:t>El</w:t>
      </w:r>
      <w:r w:rsidRPr="00050077">
        <w:rPr>
          <w:rStyle w:val="apple-converted-space"/>
          <w:rFonts w:ascii="Century Gothic" w:hAnsi="Century Gothic" w:cs="Arial"/>
          <w:color w:val="000000"/>
          <w:sz w:val="20"/>
          <w:szCs w:val="20"/>
        </w:rPr>
        <w:t> </w:t>
      </w:r>
      <w:proofErr w:type="spellStart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Reglamento</w:t>
      </w:r>
      <w:proofErr w:type="spellEnd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 xml:space="preserve"> (UE) 2024/1157</w:t>
      </w:r>
      <w:r w:rsidRPr="00050077">
        <w:rPr>
          <w:rStyle w:val="apple-converted-space"/>
          <w:rFonts w:ascii="Century Gothic" w:hAnsi="Century Gothic" w:cs="Arial"/>
          <w:color w:val="000000"/>
          <w:sz w:val="20"/>
          <w:szCs w:val="20"/>
        </w:rPr>
        <w:t> 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establece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nuevas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normas sobre el traslado de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entre países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miembros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de la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Unión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Europea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. Este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reglamento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pretende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garantizar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que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se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gestionen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forma segura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sostenible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desde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punto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vista ambiental,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reduciendo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riesgo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traslados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ilegales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los problemas derivados:</w:t>
      </w:r>
    </w:p>
    <w:p w14:paraId="0E291A77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Prohíbe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los traslados de todos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destinados 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eliminación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dentro de la UE, salvo que se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acuerde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autorice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mediante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procedimiento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notificación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autorización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previa por escrito (“PIC”).</w:t>
      </w:r>
    </w:p>
    <w:p w14:paraId="59E90233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Mantiene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prohibición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los Estados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miembros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exportar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destinados 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eliminación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terceros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países y de exportar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peligrosos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destinados 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valorización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países que no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forman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parte de la OCDE, 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introduce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prohibición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exportar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plásticos no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peligrosos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países que no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forman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parte de la OCDE.</w:t>
      </w:r>
    </w:p>
    <w:p w14:paraId="2B8D185E" w14:textId="5EEC8A94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plásticos no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peligrosos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podrán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exportarse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países de la OCDE mediante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procedimiento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notificación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“PIC”, pero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estarán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sujetos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control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específico por parte de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Comisión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45BF05F" w14:textId="338D2958" w:rsidR="00050077" w:rsidRPr="00050077" w:rsidRDefault="00050077" w:rsidP="00050077">
      <w:pPr>
        <w:pStyle w:val="p3"/>
        <w:spacing w:line="360" w:lineRule="auto"/>
        <w:ind w:firstLine="72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Century Gothic" w:hAnsi="Century Gothic" w:cs="Arial"/>
          <w:color w:val="000000"/>
          <w:sz w:val="20"/>
          <w:szCs w:val="20"/>
        </w:rPr>
        <w:t>El</w:t>
      </w:r>
      <w:r w:rsidRPr="00050077">
        <w:rPr>
          <w:rStyle w:val="apple-converted-space"/>
          <w:rFonts w:ascii="Century Gothic" w:hAnsi="Century Gothic" w:cs="Arial"/>
          <w:color w:val="000000"/>
          <w:sz w:val="20"/>
          <w:szCs w:val="20"/>
        </w:rPr>
        <w:t> </w:t>
      </w:r>
      <w:proofErr w:type="spellStart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acuerdo</w:t>
      </w:r>
      <w:proofErr w:type="spellEnd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 xml:space="preserve"> provisional para la </w:t>
      </w:r>
      <w:proofErr w:type="spellStart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revisión</w:t>
      </w:r>
      <w:proofErr w:type="spellEnd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 xml:space="preserve"> de la </w:t>
      </w:r>
      <w:proofErr w:type="spellStart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Directiva</w:t>
      </w:r>
      <w:proofErr w:type="spellEnd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 xml:space="preserve"> Marco de </w:t>
      </w:r>
      <w:proofErr w:type="spellStart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alcanzado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febrero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este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año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por el Parlamento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Europeo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Consejo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Europeo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supone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cambio significativo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gestión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Europea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:</w:t>
      </w:r>
    </w:p>
    <w:p w14:paraId="56211D37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materia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desperdicio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alimentario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el objetivo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reducir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10 %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producción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transformación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fabricación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hasta 2030,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comparación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media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alimentarios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producidos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estos sectores entre 2021 y 2023;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reducir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30 %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producción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per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cápita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conjuntamente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venta minorista,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restauración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hogares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respecto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la media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producida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estos sectores entre 2021 y 2023.</w:t>
      </w:r>
    </w:p>
    <w:p w14:paraId="490A2590" w14:textId="4977E165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Segoe UI Symbol" w:hAnsi="Segoe UI Symbol" w:cs="Segoe UI Symbol"/>
          <w:color w:val="000000"/>
          <w:sz w:val="20"/>
          <w:szCs w:val="20"/>
        </w:rPr>
        <w:t>✓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cuanto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textiles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acuerdo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provisional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establece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normas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armonizadas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materia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responsabilidad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ampliada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productor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para los fabricantes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textiles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marcas de moda,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serán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responsables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generan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estarán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obligados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pagar una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tasa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para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ayudar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financiar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recogida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tratamiento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. El importe variará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función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nivel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circularidad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sostenibilidad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diseño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sus productos.</w:t>
      </w:r>
    </w:p>
    <w:p w14:paraId="061F169A" w14:textId="170EC406" w:rsidR="00050077" w:rsidRPr="00050077" w:rsidRDefault="00050077" w:rsidP="00050077">
      <w:pPr>
        <w:pStyle w:val="p3"/>
        <w:spacing w:line="360" w:lineRule="auto"/>
        <w:ind w:firstLine="720"/>
        <w:jc w:val="both"/>
        <w:rPr>
          <w:rFonts w:ascii="Century Gothic" w:hAnsi="Century Gothic" w:cs="Arial"/>
          <w:color w:val="000000"/>
          <w:sz w:val="20"/>
          <w:szCs w:val="20"/>
          <w:u w:val="single"/>
        </w:rPr>
      </w:pPr>
      <w:r w:rsidRPr="00050077">
        <w:rPr>
          <w:rFonts w:ascii="Century Gothic" w:hAnsi="Century Gothic" w:cs="Arial"/>
          <w:color w:val="000000"/>
          <w:sz w:val="20"/>
          <w:szCs w:val="20"/>
        </w:rPr>
        <w:lastRenderedPageBreak/>
        <w:t>La</w:t>
      </w:r>
      <w:r w:rsidRPr="00050077">
        <w:rPr>
          <w:rStyle w:val="apple-converted-space"/>
          <w:rFonts w:ascii="Century Gothic" w:hAnsi="Century Gothic" w:cs="Arial"/>
          <w:color w:val="000000"/>
          <w:sz w:val="20"/>
          <w:szCs w:val="20"/>
        </w:rPr>
        <w:t> </w:t>
      </w:r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DIRECTIVA (UE) 2024/1785 DEL PARLAMENTO EUROPEO Y DEL CONSEJO, de 24 de abril de 2024</w:t>
      </w: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establece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que los </w:t>
      </w:r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operadores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industriales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enumerados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Directiva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sobre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Emisiones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Industriales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deberán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disponer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una licencia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explotación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(que se expedirá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electrónicamente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por el país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el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estén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ubicados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mediante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sistema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deberá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estar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funcionamiento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más tardar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2035),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fijará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los valores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límite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emisión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sustancias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contaminantes.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Dichos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valores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abarcarán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entre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otros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aspectos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las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emisiones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al aire, </w:t>
      </w:r>
      <w:proofErr w:type="gramStart"/>
      <w:r w:rsidRPr="00050077">
        <w:rPr>
          <w:rFonts w:ascii="Century Gothic" w:hAnsi="Century Gothic" w:cs="Arial"/>
          <w:color w:val="000000"/>
          <w:sz w:val="20"/>
          <w:szCs w:val="20"/>
        </w:rPr>
        <w:t>agua</w:t>
      </w:r>
      <w:proofErr w:type="gram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suelo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producción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el uso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materias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primas y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eficiencia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energética. Las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nuevas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normas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amplían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su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ámbito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aplicación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más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explotaciones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ganaderas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intensivas y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gran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tamaño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dedicadas a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cría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de cerdos y aves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corral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, </w:t>
      </w:r>
      <w:r w:rsidRPr="00050077">
        <w:rPr>
          <w:rFonts w:ascii="Century Gothic" w:hAnsi="Century Gothic" w:cs="Arial"/>
          <w:color w:val="000000"/>
          <w:sz w:val="20"/>
          <w:szCs w:val="20"/>
        </w:rPr>
        <w:t>pero no de bovinos</w:t>
      </w:r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,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así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como al sector minero y a las grandes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instalaciones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producción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baterías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  <w:u w:val="single"/>
        </w:rPr>
        <w:t>.</w:t>
      </w:r>
    </w:p>
    <w:p w14:paraId="6F7DF23C" w14:textId="2C82D5F9" w:rsid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nivel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nacional, dado que el Estado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portugués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había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transpuesto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incorrectamente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última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revisión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Directiva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Marco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se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vio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obligado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 publicar el</w:t>
      </w:r>
      <w:r w:rsidRPr="00050077">
        <w:rPr>
          <w:rStyle w:val="apple-converted-space"/>
          <w:rFonts w:ascii="Century Gothic" w:hAnsi="Century Gothic" w:cs="Arial"/>
          <w:color w:val="000000"/>
          <w:sz w:val="20"/>
          <w:szCs w:val="20"/>
        </w:rPr>
        <w:t> </w:t>
      </w:r>
      <w:proofErr w:type="spellStart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Decreto-Ley</w:t>
      </w:r>
      <w:proofErr w:type="spellEnd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 xml:space="preserve"> n.º 81/2025, de 22 de </w:t>
      </w:r>
      <w:proofErr w:type="spellStart"/>
      <w:r w:rsidRPr="00050077">
        <w:rPr>
          <w:rStyle w:val="s1"/>
          <w:rFonts w:ascii="Century Gothic" w:hAnsi="Century Gothic" w:cs="Arial"/>
          <w:b/>
          <w:bCs/>
          <w:color w:val="000000"/>
          <w:sz w:val="20"/>
          <w:szCs w:val="20"/>
        </w:rPr>
        <w:t>mayo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que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modificó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el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Régimen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General de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Gestión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. Esta norma aclara responsabilidades (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incluidas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las de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antiguos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poseedores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), define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mejor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los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conceptos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urbanos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peligrosos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refuerza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los planes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gestión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y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prevención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.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aspecto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destacado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es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limitación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incineración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de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fracción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resto de la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recogida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selectiva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, que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ahora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solo está permitida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caso de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imposibilidad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 xml:space="preserve"> ambiental </w:t>
      </w:r>
      <w:proofErr w:type="spellStart"/>
      <w:r w:rsidRPr="00050077">
        <w:rPr>
          <w:rFonts w:ascii="Century Gothic" w:hAnsi="Century Gothic" w:cs="Arial"/>
          <w:color w:val="000000"/>
          <w:sz w:val="20"/>
          <w:szCs w:val="20"/>
        </w:rPr>
        <w:t>comprobada</w:t>
      </w:r>
      <w:proofErr w:type="spellEnd"/>
      <w:r w:rsidRPr="0005007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633CF7A4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4DC2E201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Estos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cambios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representan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giro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la forma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que Europa —y Portugal—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gestionan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los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residuos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. Más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allá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de una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obligación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legal,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suponen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una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invitación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a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replantearse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hábitos y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procesos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hacia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un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futuro más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sostenible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. Pero, sobre todo,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dejan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clara la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necesidad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urgente de que las empresas,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en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diversos sectores,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adapten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sus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procesos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productivos</w:t>
      </w:r>
      <w:proofErr w:type="spellEnd"/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.</w:t>
      </w:r>
    </w:p>
    <w:p w14:paraId="48652418" w14:textId="77777777" w:rsidR="00050077" w:rsidRPr="00050077" w:rsidRDefault="00050077" w:rsidP="00050077">
      <w:pPr>
        <w:pStyle w:val="p2"/>
        <w:spacing w:line="36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B267D7D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50077">
        <w:rPr>
          <w:rFonts w:ascii="Century Gothic" w:hAnsi="Century Gothic" w:cs="Arial"/>
          <w:b/>
          <w:bCs/>
          <w:color w:val="000000"/>
          <w:sz w:val="20"/>
          <w:szCs w:val="20"/>
        </w:rPr>
        <w:t>Joana Antunes</w:t>
      </w:r>
    </w:p>
    <w:p w14:paraId="3EA91D45" w14:textId="77777777" w:rsidR="00050077" w:rsidRPr="00050077" w:rsidRDefault="00050077" w:rsidP="00050077">
      <w:pPr>
        <w:pStyle w:val="p3"/>
        <w:spacing w:line="36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hyperlink r:id="rId10" w:history="1">
        <w:r w:rsidRPr="00050077">
          <w:rPr>
            <w:rStyle w:val="Hiperligao"/>
            <w:rFonts w:ascii="Century Gothic" w:hAnsi="Century Gothic" w:cs="Arial"/>
            <w:b/>
            <w:bCs/>
            <w:sz w:val="20"/>
            <w:szCs w:val="20"/>
          </w:rPr>
          <w:t>jantunes@adceceija.pt</w:t>
        </w:r>
      </w:hyperlink>
    </w:p>
    <w:p w14:paraId="78D4B974" w14:textId="77777777" w:rsidR="00050077" w:rsidRPr="00050077" w:rsidRDefault="00050077" w:rsidP="00050077">
      <w:p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</w:rPr>
      </w:pPr>
    </w:p>
    <w:p w14:paraId="7E9CADB2" w14:textId="59D026EC" w:rsidR="003C386A" w:rsidRPr="00050077" w:rsidRDefault="003C386A" w:rsidP="00050077">
      <w:pPr>
        <w:spacing w:line="360" w:lineRule="auto"/>
        <w:jc w:val="both"/>
        <w:rPr>
          <w:rFonts w:ascii="Century Gothic" w:hAnsi="Century Gothic"/>
          <w:color w:val="425363"/>
          <w:sz w:val="20"/>
          <w:szCs w:val="20"/>
        </w:rPr>
      </w:pPr>
    </w:p>
    <w:sectPr w:rsidR="003C386A" w:rsidRPr="00050077" w:rsidSect="00C7788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702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073B" w14:textId="77777777" w:rsidR="00050077" w:rsidRDefault="00050077" w:rsidP="007416E8">
      <w:r>
        <w:separator/>
      </w:r>
    </w:p>
  </w:endnote>
  <w:endnote w:type="continuationSeparator" w:id="0">
    <w:p w14:paraId="3B74468E" w14:textId="77777777" w:rsidR="00050077" w:rsidRDefault="00050077" w:rsidP="0074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B964" w14:textId="77777777" w:rsidR="00EF5BF2" w:rsidRPr="003C386A" w:rsidRDefault="003C386A" w:rsidP="003C386A">
    <w:pPr>
      <w:pStyle w:val="Rodap"/>
      <w:jc w:val="center"/>
      <w:rPr>
        <w:rFonts w:ascii="Century Gothic" w:hAnsi="Century Gothic"/>
        <w:b/>
        <w:bCs/>
        <w:color w:val="E53D2F"/>
      </w:rPr>
    </w:pPr>
    <w:r w:rsidRPr="003C386A">
      <w:rPr>
        <w:rFonts w:ascii="Century Gothic" w:hAnsi="Century Gothic"/>
        <w:b/>
        <w:bCs/>
        <w:color w:val="E53D2F"/>
      </w:rPr>
      <w:t>www.adcecija.pt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D2C8" w14:textId="77777777" w:rsidR="003C386A" w:rsidRDefault="003C386A" w:rsidP="003C386A">
    <w:pPr>
      <w:pStyle w:val="Rodap"/>
      <w:rPr>
        <w:rFonts w:ascii="Century Gothic" w:hAnsi="Century Gothic"/>
        <w:b/>
        <w:bCs/>
        <w:color w:val="E53D2F"/>
      </w:rPr>
    </w:pPr>
  </w:p>
  <w:p w14:paraId="5611EF63" w14:textId="77777777" w:rsidR="00000E4A" w:rsidRPr="003C386A" w:rsidRDefault="003C386A" w:rsidP="003C386A">
    <w:pPr>
      <w:pStyle w:val="Rodap"/>
      <w:jc w:val="center"/>
      <w:rPr>
        <w:rFonts w:ascii="Century Gothic" w:hAnsi="Century Gothic"/>
        <w:b/>
        <w:bCs/>
        <w:color w:val="E53D2F"/>
      </w:rPr>
    </w:pPr>
    <w:r w:rsidRPr="003C386A">
      <w:rPr>
        <w:rFonts w:ascii="Century Gothic" w:hAnsi="Century Gothic"/>
        <w:b/>
        <w:bCs/>
        <w:color w:val="E53D2F"/>
      </w:rPr>
      <w:t>www.adcecija.pt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3ACC" w14:textId="77777777" w:rsidR="00050077" w:rsidRDefault="00050077" w:rsidP="007416E8">
      <w:r>
        <w:separator/>
      </w:r>
    </w:p>
  </w:footnote>
  <w:footnote w:type="continuationSeparator" w:id="0">
    <w:p w14:paraId="470EB46A" w14:textId="77777777" w:rsidR="00050077" w:rsidRDefault="00050077" w:rsidP="0074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9494" w14:textId="77777777" w:rsidR="007416E8" w:rsidRPr="007416E8" w:rsidRDefault="007416E8" w:rsidP="00C7788D">
    <w:pPr>
      <w:pStyle w:val="Cabealho"/>
      <w:tabs>
        <w:tab w:val="clear" w:pos="4419"/>
        <w:tab w:val="clear" w:pos="8838"/>
        <w:tab w:val="left" w:pos="3631"/>
      </w:tabs>
      <w:rPr>
        <w:rFonts w:ascii="Century Gothic" w:hAnsi="Century Gothic"/>
        <w:sz w:val="20"/>
        <w:szCs w:val="20"/>
      </w:rPr>
    </w:pPr>
    <w:r w:rsidRPr="007416E8">
      <w:rPr>
        <w:rFonts w:ascii="Century Gothic" w:hAnsi="Century Gothic"/>
        <w:sz w:val="20"/>
        <w:szCs w:val="20"/>
      </w:rPr>
      <w:t xml:space="preserve"> </w:t>
    </w:r>
    <w:r w:rsidR="001D18D0">
      <w:rPr>
        <w:rFonts w:ascii="Century Gothic" w:hAnsi="Century Gothic"/>
        <w:noProof/>
        <w:sz w:val="20"/>
        <w:szCs w:val="20"/>
        <w:lang w:eastAsia="pt-PT"/>
      </w:rPr>
      <w:drawing>
        <wp:inline distT="0" distB="0" distL="0" distR="0" wp14:anchorId="5A036804" wp14:editId="4FBA373F">
          <wp:extent cx="393161" cy="256012"/>
          <wp:effectExtent l="0" t="0" r="635" b="0"/>
          <wp:docPr id="5" name="Imagem 5" descr="../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a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97" cy="26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E935" w14:textId="77777777" w:rsidR="001D18D0" w:rsidRDefault="001D18D0">
    <w:pPr>
      <w:pStyle w:val="Cabealho"/>
    </w:pPr>
    <w:r>
      <w:rPr>
        <w:noProof/>
        <w:lang w:eastAsia="pt-PT"/>
      </w:rPr>
      <w:drawing>
        <wp:inline distT="0" distB="0" distL="0" distR="0" wp14:anchorId="35E644E7" wp14:editId="5DEE23AA">
          <wp:extent cx="1228422" cy="6361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E_logo_roj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2194" cy="69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5pt;height:37.5pt" o:bullet="t">
        <v:imagedata r:id="rId1" o:title="ae-teste"/>
      </v:shape>
    </w:pict>
  </w:numPicBullet>
  <w:numPicBullet w:numPicBulletId="1">
    <w:pict>
      <v:shape id="_x0000_i1031" type="#_x0000_t75" style="width:37.5pt;height:37.5pt" o:bullet="t">
        <v:imagedata r:id="rId2" o:title="ae-blue"/>
      </v:shape>
    </w:pict>
  </w:numPicBullet>
  <w:abstractNum w:abstractNumId="0" w15:restartNumberingAfterBreak="0">
    <w:nsid w:val="02912020"/>
    <w:multiLevelType w:val="hybridMultilevel"/>
    <w:tmpl w:val="B6B26D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CF4"/>
    <w:multiLevelType w:val="hybridMultilevel"/>
    <w:tmpl w:val="1F60EC3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FB5F13"/>
    <w:multiLevelType w:val="hybridMultilevel"/>
    <w:tmpl w:val="DC2C1474"/>
    <w:lvl w:ilvl="0" w:tplc="AC14084E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F8D"/>
    <w:multiLevelType w:val="hybridMultilevel"/>
    <w:tmpl w:val="8EC6D7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2D3D"/>
    <w:multiLevelType w:val="hybridMultilevel"/>
    <w:tmpl w:val="6C28AD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7C96"/>
    <w:multiLevelType w:val="hybridMultilevel"/>
    <w:tmpl w:val="89A28D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C6E"/>
    <w:multiLevelType w:val="hybridMultilevel"/>
    <w:tmpl w:val="C71AA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83DDA"/>
    <w:multiLevelType w:val="hybridMultilevel"/>
    <w:tmpl w:val="6F4E62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74621"/>
    <w:multiLevelType w:val="hybridMultilevel"/>
    <w:tmpl w:val="6C4AC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4770FD"/>
    <w:multiLevelType w:val="hybridMultilevel"/>
    <w:tmpl w:val="DCFC58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A4338"/>
    <w:multiLevelType w:val="hybridMultilevel"/>
    <w:tmpl w:val="4E94E0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F6ACA"/>
    <w:multiLevelType w:val="hybridMultilevel"/>
    <w:tmpl w:val="321A97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7940"/>
    <w:multiLevelType w:val="hybridMultilevel"/>
    <w:tmpl w:val="E0ACC5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2F1C60"/>
    <w:multiLevelType w:val="hybridMultilevel"/>
    <w:tmpl w:val="A1AA6E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524ED4"/>
    <w:multiLevelType w:val="hybridMultilevel"/>
    <w:tmpl w:val="BD249B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F1D92"/>
    <w:multiLevelType w:val="hybridMultilevel"/>
    <w:tmpl w:val="1E10BC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D0149"/>
    <w:multiLevelType w:val="hybridMultilevel"/>
    <w:tmpl w:val="101411A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077A00"/>
    <w:multiLevelType w:val="hybridMultilevel"/>
    <w:tmpl w:val="429E11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D20F2"/>
    <w:multiLevelType w:val="hybridMultilevel"/>
    <w:tmpl w:val="F58A6026"/>
    <w:lvl w:ilvl="0" w:tplc="FAC64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432444"/>
    <w:multiLevelType w:val="hybridMultilevel"/>
    <w:tmpl w:val="44EA0FFE"/>
    <w:lvl w:ilvl="0" w:tplc="FB7413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A27F3"/>
    <w:multiLevelType w:val="hybridMultilevel"/>
    <w:tmpl w:val="8228D65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2E0255"/>
    <w:multiLevelType w:val="hybridMultilevel"/>
    <w:tmpl w:val="504E39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54ED"/>
    <w:multiLevelType w:val="hybridMultilevel"/>
    <w:tmpl w:val="997227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E5562E"/>
    <w:multiLevelType w:val="hybridMultilevel"/>
    <w:tmpl w:val="D5F6ED5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FB10E8"/>
    <w:multiLevelType w:val="hybridMultilevel"/>
    <w:tmpl w:val="349003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B02B27"/>
    <w:multiLevelType w:val="hybridMultilevel"/>
    <w:tmpl w:val="704CAF3C"/>
    <w:lvl w:ilvl="0" w:tplc="1812B23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30CC8"/>
    <w:multiLevelType w:val="hybridMultilevel"/>
    <w:tmpl w:val="2396A1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D4EBC"/>
    <w:multiLevelType w:val="hybridMultilevel"/>
    <w:tmpl w:val="767C16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C67D7"/>
    <w:multiLevelType w:val="hybridMultilevel"/>
    <w:tmpl w:val="5374F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803919">
    <w:abstractNumId w:val="11"/>
  </w:num>
  <w:num w:numId="2" w16cid:durableId="1896155665">
    <w:abstractNumId w:val="23"/>
  </w:num>
  <w:num w:numId="3" w16cid:durableId="1307511693">
    <w:abstractNumId w:val="21"/>
  </w:num>
  <w:num w:numId="4" w16cid:durableId="1331981446">
    <w:abstractNumId w:val="4"/>
  </w:num>
  <w:num w:numId="5" w16cid:durableId="1121681301">
    <w:abstractNumId w:val="26"/>
  </w:num>
  <w:num w:numId="6" w16cid:durableId="2052074658">
    <w:abstractNumId w:val="27"/>
  </w:num>
  <w:num w:numId="7" w16cid:durableId="72094855">
    <w:abstractNumId w:val="3"/>
  </w:num>
  <w:num w:numId="8" w16cid:durableId="1927766244">
    <w:abstractNumId w:val="17"/>
  </w:num>
  <w:num w:numId="9" w16cid:durableId="1275870608">
    <w:abstractNumId w:val="2"/>
  </w:num>
  <w:num w:numId="10" w16cid:durableId="467625726">
    <w:abstractNumId w:val="9"/>
  </w:num>
  <w:num w:numId="11" w16cid:durableId="2024430815">
    <w:abstractNumId w:val="16"/>
  </w:num>
  <w:num w:numId="12" w16cid:durableId="1878931503">
    <w:abstractNumId w:val="6"/>
  </w:num>
  <w:num w:numId="13" w16cid:durableId="1690520558">
    <w:abstractNumId w:val="28"/>
  </w:num>
  <w:num w:numId="14" w16cid:durableId="2034185543">
    <w:abstractNumId w:val="14"/>
  </w:num>
  <w:num w:numId="15" w16cid:durableId="200940010">
    <w:abstractNumId w:val="0"/>
  </w:num>
  <w:num w:numId="16" w16cid:durableId="259141306">
    <w:abstractNumId w:val="7"/>
  </w:num>
  <w:num w:numId="17" w16cid:durableId="263417507">
    <w:abstractNumId w:val="13"/>
  </w:num>
  <w:num w:numId="18" w16cid:durableId="1219240007">
    <w:abstractNumId w:val="8"/>
  </w:num>
  <w:num w:numId="19" w16cid:durableId="682240603">
    <w:abstractNumId w:val="10"/>
  </w:num>
  <w:num w:numId="20" w16cid:durableId="1131365843">
    <w:abstractNumId w:val="1"/>
  </w:num>
  <w:num w:numId="21" w16cid:durableId="658968822">
    <w:abstractNumId w:val="20"/>
  </w:num>
  <w:num w:numId="22" w16cid:durableId="1528366446">
    <w:abstractNumId w:val="22"/>
  </w:num>
  <w:num w:numId="23" w16cid:durableId="140000024">
    <w:abstractNumId w:val="24"/>
  </w:num>
  <w:num w:numId="24" w16cid:durableId="849561885">
    <w:abstractNumId w:val="12"/>
  </w:num>
  <w:num w:numId="25" w16cid:durableId="2981532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6230505">
    <w:abstractNumId w:val="5"/>
  </w:num>
  <w:num w:numId="27" w16cid:durableId="467015354">
    <w:abstractNumId w:val="18"/>
  </w:num>
  <w:num w:numId="28" w16cid:durableId="1723168994">
    <w:abstractNumId w:val="19"/>
  </w:num>
  <w:num w:numId="29" w16cid:durableId="8313326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7"/>
    <w:rsid w:val="000003E3"/>
    <w:rsid w:val="00000E4A"/>
    <w:rsid w:val="000205CF"/>
    <w:rsid w:val="00031711"/>
    <w:rsid w:val="0004084C"/>
    <w:rsid w:val="000437FB"/>
    <w:rsid w:val="00043A95"/>
    <w:rsid w:val="00050077"/>
    <w:rsid w:val="0005515C"/>
    <w:rsid w:val="000553D7"/>
    <w:rsid w:val="00055C56"/>
    <w:rsid w:val="00062D2C"/>
    <w:rsid w:val="0006355C"/>
    <w:rsid w:val="000660E5"/>
    <w:rsid w:val="00076002"/>
    <w:rsid w:val="0008599E"/>
    <w:rsid w:val="000912C7"/>
    <w:rsid w:val="00096D8A"/>
    <w:rsid w:val="000A3368"/>
    <w:rsid w:val="000A662F"/>
    <w:rsid w:val="000B32CC"/>
    <w:rsid w:val="000B336D"/>
    <w:rsid w:val="000B5F55"/>
    <w:rsid w:val="000C40FB"/>
    <w:rsid w:val="000D2CB8"/>
    <w:rsid w:val="000D35DE"/>
    <w:rsid w:val="000E5C0A"/>
    <w:rsid w:val="000F281C"/>
    <w:rsid w:val="000F5187"/>
    <w:rsid w:val="0010757E"/>
    <w:rsid w:val="00107A47"/>
    <w:rsid w:val="00115B85"/>
    <w:rsid w:val="00116F1D"/>
    <w:rsid w:val="00133449"/>
    <w:rsid w:val="001340E8"/>
    <w:rsid w:val="00134375"/>
    <w:rsid w:val="00143332"/>
    <w:rsid w:val="00144230"/>
    <w:rsid w:val="00145E8E"/>
    <w:rsid w:val="00156B17"/>
    <w:rsid w:val="00157695"/>
    <w:rsid w:val="00174A16"/>
    <w:rsid w:val="00180AFE"/>
    <w:rsid w:val="0019085E"/>
    <w:rsid w:val="001A4847"/>
    <w:rsid w:val="001C150A"/>
    <w:rsid w:val="001D18D0"/>
    <w:rsid w:val="001E060E"/>
    <w:rsid w:val="00216E40"/>
    <w:rsid w:val="00224245"/>
    <w:rsid w:val="00234B12"/>
    <w:rsid w:val="00241970"/>
    <w:rsid w:val="0024254F"/>
    <w:rsid w:val="002629F8"/>
    <w:rsid w:val="002761E1"/>
    <w:rsid w:val="002768A2"/>
    <w:rsid w:val="002802EB"/>
    <w:rsid w:val="00282302"/>
    <w:rsid w:val="00285E07"/>
    <w:rsid w:val="0028777E"/>
    <w:rsid w:val="002935ED"/>
    <w:rsid w:val="002C059F"/>
    <w:rsid w:val="002C7874"/>
    <w:rsid w:val="002D1FE1"/>
    <w:rsid w:val="002D5054"/>
    <w:rsid w:val="002E4E78"/>
    <w:rsid w:val="002E60A4"/>
    <w:rsid w:val="002E61B4"/>
    <w:rsid w:val="002F24AE"/>
    <w:rsid w:val="002F482C"/>
    <w:rsid w:val="00302403"/>
    <w:rsid w:val="003038B2"/>
    <w:rsid w:val="00313872"/>
    <w:rsid w:val="003161BC"/>
    <w:rsid w:val="00322CE6"/>
    <w:rsid w:val="003243CB"/>
    <w:rsid w:val="00346FD9"/>
    <w:rsid w:val="00353DFB"/>
    <w:rsid w:val="0036756D"/>
    <w:rsid w:val="0037281D"/>
    <w:rsid w:val="00375EB5"/>
    <w:rsid w:val="0038159A"/>
    <w:rsid w:val="00381787"/>
    <w:rsid w:val="00381BC2"/>
    <w:rsid w:val="00391896"/>
    <w:rsid w:val="003A0134"/>
    <w:rsid w:val="003C386A"/>
    <w:rsid w:val="003D0D15"/>
    <w:rsid w:val="003D3F6E"/>
    <w:rsid w:val="003D602B"/>
    <w:rsid w:val="003E45A8"/>
    <w:rsid w:val="003F44A9"/>
    <w:rsid w:val="00411ECB"/>
    <w:rsid w:val="0043041E"/>
    <w:rsid w:val="004439C6"/>
    <w:rsid w:val="00444ED2"/>
    <w:rsid w:val="00445D49"/>
    <w:rsid w:val="00451018"/>
    <w:rsid w:val="0045343C"/>
    <w:rsid w:val="0046038D"/>
    <w:rsid w:val="004628E6"/>
    <w:rsid w:val="00473798"/>
    <w:rsid w:val="00477A5A"/>
    <w:rsid w:val="00486619"/>
    <w:rsid w:val="0048759F"/>
    <w:rsid w:val="004930A0"/>
    <w:rsid w:val="004A7B5F"/>
    <w:rsid w:val="004B7BB4"/>
    <w:rsid w:val="004C717D"/>
    <w:rsid w:val="004D79CB"/>
    <w:rsid w:val="004E03EE"/>
    <w:rsid w:val="004E6816"/>
    <w:rsid w:val="004E7065"/>
    <w:rsid w:val="004F5584"/>
    <w:rsid w:val="005002F5"/>
    <w:rsid w:val="0050154E"/>
    <w:rsid w:val="00512CB2"/>
    <w:rsid w:val="00535633"/>
    <w:rsid w:val="00561828"/>
    <w:rsid w:val="0056377D"/>
    <w:rsid w:val="00570618"/>
    <w:rsid w:val="005825F9"/>
    <w:rsid w:val="005842C1"/>
    <w:rsid w:val="005A0C38"/>
    <w:rsid w:val="005A7323"/>
    <w:rsid w:val="005B08E1"/>
    <w:rsid w:val="005B4A02"/>
    <w:rsid w:val="005B66CC"/>
    <w:rsid w:val="005B6A45"/>
    <w:rsid w:val="005B6BBE"/>
    <w:rsid w:val="005D3BE3"/>
    <w:rsid w:val="0060023A"/>
    <w:rsid w:val="00602447"/>
    <w:rsid w:val="00614215"/>
    <w:rsid w:val="0061565E"/>
    <w:rsid w:val="00622735"/>
    <w:rsid w:val="0062526A"/>
    <w:rsid w:val="0063528D"/>
    <w:rsid w:val="00635A06"/>
    <w:rsid w:val="0064644B"/>
    <w:rsid w:val="00647AC5"/>
    <w:rsid w:val="006502F1"/>
    <w:rsid w:val="00651C64"/>
    <w:rsid w:val="0066282F"/>
    <w:rsid w:val="006674FF"/>
    <w:rsid w:val="006A3199"/>
    <w:rsid w:val="006C086E"/>
    <w:rsid w:val="006D4FA2"/>
    <w:rsid w:val="006E71EA"/>
    <w:rsid w:val="006F0A93"/>
    <w:rsid w:val="006F1BC1"/>
    <w:rsid w:val="006F46B7"/>
    <w:rsid w:val="0071591C"/>
    <w:rsid w:val="00720785"/>
    <w:rsid w:val="00733E26"/>
    <w:rsid w:val="0073552A"/>
    <w:rsid w:val="00736824"/>
    <w:rsid w:val="00736866"/>
    <w:rsid w:val="007416E8"/>
    <w:rsid w:val="007434F3"/>
    <w:rsid w:val="007808E1"/>
    <w:rsid w:val="00780A6F"/>
    <w:rsid w:val="007A0E0A"/>
    <w:rsid w:val="007B6C76"/>
    <w:rsid w:val="007C608D"/>
    <w:rsid w:val="007C70D0"/>
    <w:rsid w:val="007D60C6"/>
    <w:rsid w:val="007E0F5B"/>
    <w:rsid w:val="007F14DA"/>
    <w:rsid w:val="0080694A"/>
    <w:rsid w:val="00817E22"/>
    <w:rsid w:val="008221F2"/>
    <w:rsid w:val="00825A91"/>
    <w:rsid w:val="00847789"/>
    <w:rsid w:val="008517CF"/>
    <w:rsid w:val="00860F41"/>
    <w:rsid w:val="00866707"/>
    <w:rsid w:val="0087263E"/>
    <w:rsid w:val="00873A08"/>
    <w:rsid w:val="008772FA"/>
    <w:rsid w:val="0087767C"/>
    <w:rsid w:val="00877A00"/>
    <w:rsid w:val="00886689"/>
    <w:rsid w:val="00890EC3"/>
    <w:rsid w:val="008960B9"/>
    <w:rsid w:val="008A1774"/>
    <w:rsid w:val="008B00A0"/>
    <w:rsid w:val="008B115D"/>
    <w:rsid w:val="008C4B14"/>
    <w:rsid w:val="008D452B"/>
    <w:rsid w:val="008E7D13"/>
    <w:rsid w:val="008F3DFC"/>
    <w:rsid w:val="008F4AA9"/>
    <w:rsid w:val="008F5A2D"/>
    <w:rsid w:val="008F79C8"/>
    <w:rsid w:val="00930107"/>
    <w:rsid w:val="00932041"/>
    <w:rsid w:val="00940A70"/>
    <w:rsid w:val="0095101A"/>
    <w:rsid w:val="00952871"/>
    <w:rsid w:val="00954311"/>
    <w:rsid w:val="009545C9"/>
    <w:rsid w:val="0096703E"/>
    <w:rsid w:val="00971970"/>
    <w:rsid w:val="009746A4"/>
    <w:rsid w:val="00974B51"/>
    <w:rsid w:val="0098017B"/>
    <w:rsid w:val="00990396"/>
    <w:rsid w:val="00991B32"/>
    <w:rsid w:val="009A07C3"/>
    <w:rsid w:val="009C1EC8"/>
    <w:rsid w:val="009E1F96"/>
    <w:rsid w:val="009F47BA"/>
    <w:rsid w:val="00A03B17"/>
    <w:rsid w:val="00A1425E"/>
    <w:rsid w:val="00A148D8"/>
    <w:rsid w:val="00A157FF"/>
    <w:rsid w:val="00A23D4B"/>
    <w:rsid w:val="00A35364"/>
    <w:rsid w:val="00A44A7E"/>
    <w:rsid w:val="00A624CE"/>
    <w:rsid w:val="00A659AD"/>
    <w:rsid w:val="00A76A84"/>
    <w:rsid w:val="00A80BEC"/>
    <w:rsid w:val="00A846F4"/>
    <w:rsid w:val="00A862A9"/>
    <w:rsid w:val="00A910FB"/>
    <w:rsid w:val="00A929B7"/>
    <w:rsid w:val="00A95C00"/>
    <w:rsid w:val="00AA005F"/>
    <w:rsid w:val="00AA4BEE"/>
    <w:rsid w:val="00AB3DCD"/>
    <w:rsid w:val="00AB489D"/>
    <w:rsid w:val="00AB6A2C"/>
    <w:rsid w:val="00AD70E1"/>
    <w:rsid w:val="00AE0847"/>
    <w:rsid w:val="00AF3827"/>
    <w:rsid w:val="00B15B70"/>
    <w:rsid w:val="00B16B49"/>
    <w:rsid w:val="00B16CDF"/>
    <w:rsid w:val="00B32C74"/>
    <w:rsid w:val="00B37A4D"/>
    <w:rsid w:val="00B539CF"/>
    <w:rsid w:val="00B72C4E"/>
    <w:rsid w:val="00B74B1A"/>
    <w:rsid w:val="00B762D2"/>
    <w:rsid w:val="00B81A8F"/>
    <w:rsid w:val="00B9668A"/>
    <w:rsid w:val="00BA14DF"/>
    <w:rsid w:val="00BC3687"/>
    <w:rsid w:val="00BE45D3"/>
    <w:rsid w:val="00BF03AA"/>
    <w:rsid w:val="00BF657E"/>
    <w:rsid w:val="00C0110A"/>
    <w:rsid w:val="00C10CC4"/>
    <w:rsid w:val="00C25F58"/>
    <w:rsid w:val="00C6229D"/>
    <w:rsid w:val="00C7788D"/>
    <w:rsid w:val="00C8272A"/>
    <w:rsid w:val="00CB3633"/>
    <w:rsid w:val="00CD7C41"/>
    <w:rsid w:val="00CE1926"/>
    <w:rsid w:val="00CE2257"/>
    <w:rsid w:val="00D04F65"/>
    <w:rsid w:val="00D07658"/>
    <w:rsid w:val="00D146B0"/>
    <w:rsid w:val="00D305F6"/>
    <w:rsid w:val="00D33BDB"/>
    <w:rsid w:val="00D34E8A"/>
    <w:rsid w:val="00D4228D"/>
    <w:rsid w:val="00D507E7"/>
    <w:rsid w:val="00D53B51"/>
    <w:rsid w:val="00D57D07"/>
    <w:rsid w:val="00D67CE5"/>
    <w:rsid w:val="00D7263B"/>
    <w:rsid w:val="00D7516B"/>
    <w:rsid w:val="00D81736"/>
    <w:rsid w:val="00DC08D3"/>
    <w:rsid w:val="00DC1567"/>
    <w:rsid w:val="00DD514C"/>
    <w:rsid w:val="00DE744C"/>
    <w:rsid w:val="00E01CC0"/>
    <w:rsid w:val="00E14BEC"/>
    <w:rsid w:val="00E31820"/>
    <w:rsid w:val="00E341AA"/>
    <w:rsid w:val="00E45C42"/>
    <w:rsid w:val="00E569F7"/>
    <w:rsid w:val="00E6155D"/>
    <w:rsid w:val="00E71549"/>
    <w:rsid w:val="00E82A5B"/>
    <w:rsid w:val="00E834E3"/>
    <w:rsid w:val="00E85894"/>
    <w:rsid w:val="00E87F1E"/>
    <w:rsid w:val="00E97EB8"/>
    <w:rsid w:val="00EA3D4C"/>
    <w:rsid w:val="00EB0730"/>
    <w:rsid w:val="00EB69F2"/>
    <w:rsid w:val="00EB7AF2"/>
    <w:rsid w:val="00EE374B"/>
    <w:rsid w:val="00EF5BF2"/>
    <w:rsid w:val="00F03E0E"/>
    <w:rsid w:val="00F05464"/>
    <w:rsid w:val="00F20E7F"/>
    <w:rsid w:val="00F340BA"/>
    <w:rsid w:val="00F34F68"/>
    <w:rsid w:val="00F37C9C"/>
    <w:rsid w:val="00F4574A"/>
    <w:rsid w:val="00F64701"/>
    <w:rsid w:val="00F8448A"/>
    <w:rsid w:val="00FB2716"/>
    <w:rsid w:val="00FC25A2"/>
    <w:rsid w:val="00FC2DE7"/>
    <w:rsid w:val="00FC3E60"/>
    <w:rsid w:val="00FD2B66"/>
    <w:rsid w:val="00FE182C"/>
    <w:rsid w:val="00FE7B58"/>
    <w:rsid w:val="00FF318C"/>
    <w:rsid w:val="00FF3A68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C7600"/>
  <w15:chartTrackingRefBased/>
  <w15:docId w15:val="{A2B120D1-7835-400F-8843-B0099A0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77"/>
    <w:pPr>
      <w:spacing w:after="0" w:line="240" w:lineRule="auto"/>
    </w:pPr>
    <w:rPr>
      <w:rFonts w:ascii="Aptos" w:eastAsiaTheme="minorHAnsi" w:hAnsi="Aptos" w:cs="Aptos"/>
      <w:sz w:val="24"/>
      <w:szCs w:val="24"/>
      <w:lang w:val="pt-PT"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050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5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GB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500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GB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500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US" w:eastAsia="en-GB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500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US" w:eastAsia="en-GB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500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GB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500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GB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500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GB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500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416E8"/>
    <w:pPr>
      <w:tabs>
        <w:tab w:val="center" w:pos="4419"/>
        <w:tab w:val="right" w:pos="8838"/>
      </w:tabs>
    </w:pPr>
    <w:rPr>
      <w:rFonts w:ascii="Cambria" w:eastAsia="MS Mincho" w:hAnsi="Cambria" w:cs="Times New Roman"/>
      <w:lang w:eastAsia="es-E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416E8"/>
  </w:style>
  <w:style w:type="paragraph" w:styleId="Rodap">
    <w:name w:val="footer"/>
    <w:basedOn w:val="Normal"/>
    <w:link w:val="RodapCarter"/>
    <w:uiPriority w:val="99"/>
    <w:unhideWhenUsed/>
    <w:rsid w:val="007416E8"/>
    <w:pPr>
      <w:tabs>
        <w:tab w:val="center" w:pos="4419"/>
        <w:tab w:val="right" w:pos="8838"/>
      </w:tabs>
    </w:pPr>
    <w:rPr>
      <w:rFonts w:ascii="Cambria" w:eastAsia="MS Mincho" w:hAnsi="Cambria" w:cs="Times New Roman"/>
      <w:lang w:eastAsia="es-E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416E8"/>
  </w:style>
  <w:style w:type="character" w:styleId="Hiperligao">
    <w:name w:val="Hyperlink"/>
    <w:basedOn w:val="Tipodeletrapredefinidodopargrafo"/>
    <w:uiPriority w:val="99"/>
    <w:unhideWhenUsed/>
    <w:rsid w:val="00EF5BF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F5BF2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A0E0A"/>
    <w:rPr>
      <w:rFonts w:ascii="Century Gothic" w:eastAsiaTheme="minorEastAsia" w:hAnsi="Century Gothic" w:cstheme="minorBidi"/>
      <w:sz w:val="20"/>
      <w:szCs w:val="20"/>
      <w:lang w:val="es-ES_tradnl" w:eastAsia="en-GB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A0E0A"/>
    <w:rPr>
      <w:rFonts w:ascii="Century Gothic" w:eastAsiaTheme="minorEastAsia" w:hAnsi="Century Gothic"/>
      <w:sz w:val="20"/>
      <w:szCs w:val="20"/>
      <w:lang w:val="es-ES_tradnl" w:eastAsia="es-E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A0E0A"/>
    <w:rPr>
      <w:vertAlign w:val="superscript"/>
    </w:rPr>
  </w:style>
  <w:style w:type="table" w:styleId="TabelacomGrelha">
    <w:name w:val="Table Grid"/>
    <w:basedOn w:val="Tabelanormal"/>
    <w:uiPriority w:val="39"/>
    <w:rsid w:val="00CE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336D"/>
    <w:pPr>
      <w:spacing w:before="100" w:beforeAutospacing="1" w:after="100" w:afterAutospacing="1"/>
    </w:pPr>
  </w:style>
  <w:style w:type="character" w:styleId="nfase">
    <w:name w:val="Emphasis"/>
    <w:basedOn w:val="Tipodeletrapredefinidodopargrafo"/>
    <w:uiPriority w:val="20"/>
    <w:qFormat/>
    <w:rsid w:val="000B336D"/>
    <w:rPr>
      <w:i/>
      <w:iCs/>
    </w:rPr>
  </w:style>
  <w:style w:type="character" w:styleId="Forte">
    <w:name w:val="Strong"/>
    <w:basedOn w:val="Tipodeletrapredefinidodopargrafo"/>
    <w:uiPriority w:val="22"/>
    <w:qFormat/>
    <w:rsid w:val="000B336D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5007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500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50077"/>
    <w:rPr>
      <w:rFonts w:eastAsiaTheme="majorEastAsia" w:cstheme="majorBidi"/>
      <w:color w:val="2F5496" w:themeColor="accent1" w:themeShade="BF"/>
      <w:sz w:val="28"/>
      <w:szCs w:val="28"/>
      <w:lang w:eastAsia="en-GB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0077"/>
    <w:rPr>
      <w:rFonts w:eastAsiaTheme="majorEastAsia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50077"/>
    <w:rPr>
      <w:rFonts w:eastAsiaTheme="majorEastAsia" w:cstheme="majorBidi"/>
      <w:color w:val="2F5496" w:themeColor="accent1" w:themeShade="BF"/>
      <w:sz w:val="24"/>
      <w:szCs w:val="24"/>
      <w:lang w:eastAsia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50077"/>
    <w:rPr>
      <w:rFonts w:eastAsiaTheme="majorEastAsia" w:cstheme="majorBidi"/>
      <w:i/>
      <w:iCs/>
      <w:color w:val="595959" w:themeColor="text1" w:themeTint="A6"/>
      <w:sz w:val="24"/>
      <w:szCs w:val="24"/>
      <w:lang w:eastAsia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50077"/>
    <w:rPr>
      <w:rFonts w:eastAsiaTheme="majorEastAsia" w:cstheme="majorBidi"/>
      <w:color w:val="595959" w:themeColor="text1" w:themeTint="A6"/>
      <w:sz w:val="24"/>
      <w:szCs w:val="24"/>
      <w:lang w:eastAsia="en-GB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50077"/>
    <w:rPr>
      <w:rFonts w:eastAsiaTheme="majorEastAsia" w:cstheme="majorBidi"/>
      <w:i/>
      <w:iCs/>
      <w:color w:val="272727" w:themeColor="text1" w:themeTint="D8"/>
      <w:sz w:val="24"/>
      <w:szCs w:val="24"/>
      <w:lang w:eastAsia="en-GB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50077"/>
    <w:rPr>
      <w:rFonts w:eastAsiaTheme="majorEastAsia" w:cstheme="majorBidi"/>
      <w:color w:val="272727" w:themeColor="text1" w:themeTint="D8"/>
      <w:sz w:val="24"/>
      <w:szCs w:val="24"/>
      <w:lang w:eastAsia="en-GB"/>
    </w:rPr>
  </w:style>
  <w:style w:type="paragraph" w:styleId="Ttulo">
    <w:name w:val="Title"/>
    <w:basedOn w:val="Normal"/>
    <w:next w:val="Normal"/>
    <w:link w:val="TtuloCarter"/>
    <w:uiPriority w:val="10"/>
    <w:qFormat/>
    <w:rsid w:val="00050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5007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500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GB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50077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Citao">
    <w:name w:val="Quote"/>
    <w:basedOn w:val="Normal"/>
    <w:next w:val="Normal"/>
    <w:link w:val="CitaoCarter"/>
    <w:uiPriority w:val="29"/>
    <w:qFormat/>
    <w:rsid w:val="00050077"/>
    <w:pPr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val="en-US" w:eastAsia="en-GB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50077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en-GB"/>
    </w:rPr>
  </w:style>
  <w:style w:type="character" w:styleId="nfaseIntensa">
    <w:name w:val="Intense Emphasis"/>
    <w:basedOn w:val="Tipodeletrapredefinidodopargrafo"/>
    <w:uiPriority w:val="21"/>
    <w:qFormat/>
    <w:rsid w:val="000500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50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lang w:val="en-US" w:eastAsia="en-GB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50077"/>
    <w:rPr>
      <w:rFonts w:ascii="Times New Roman" w:hAnsi="Times New Roman" w:cs="Times New Roman"/>
      <w:i/>
      <w:iCs/>
      <w:color w:val="2F5496" w:themeColor="accent1" w:themeShade="BF"/>
      <w:sz w:val="24"/>
      <w:szCs w:val="24"/>
      <w:lang w:eastAsia="en-GB"/>
    </w:rPr>
  </w:style>
  <w:style w:type="character" w:styleId="RefernciaIntensa">
    <w:name w:val="Intense Reference"/>
    <w:basedOn w:val="Tipodeletrapredefinidodopargrafo"/>
    <w:uiPriority w:val="32"/>
    <w:qFormat/>
    <w:rsid w:val="0005007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050077"/>
    <w:pPr>
      <w:spacing w:before="100" w:beforeAutospacing="1" w:after="100" w:afterAutospacing="1"/>
    </w:pPr>
  </w:style>
  <w:style w:type="paragraph" w:customStyle="1" w:styleId="p2">
    <w:name w:val="p2"/>
    <w:basedOn w:val="Normal"/>
    <w:rsid w:val="00050077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500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050077"/>
  </w:style>
  <w:style w:type="character" w:customStyle="1" w:styleId="s1">
    <w:name w:val="s1"/>
    <w:basedOn w:val="Tipodeletrapredefinidodopargrafo"/>
    <w:rsid w:val="0005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antunes@adceceija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2BA41CD94EEC488E1691F93E545155" ma:contentTypeVersion="13" ma:contentTypeDescription="Criar um novo documento." ma:contentTypeScope="" ma:versionID="679de92f67605785603947627c4d7276">
  <xsd:schema xmlns:xsd="http://www.w3.org/2001/XMLSchema" xmlns:xs="http://www.w3.org/2001/XMLSchema" xmlns:p="http://schemas.microsoft.com/office/2006/metadata/properties" xmlns:ns3="eb227d65-5291-42f7-9501-719d6cbfc1d1" xmlns:ns4="f2d8a5d3-3c0d-4181-bd7a-3887e22dd4a6" targetNamespace="http://schemas.microsoft.com/office/2006/metadata/properties" ma:root="true" ma:fieldsID="ce7b39c30af0cea8ec2c386f06211e33" ns3:_="" ns4:_="">
    <xsd:import namespace="eb227d65-5291-42f7-9501-719d6cbfc1d1"/>
    <xsd:import namespace="f2d8a5d3-3c0d-4181-bd7a-3887e22dd4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27d65-5291-42f7-9501-719d6cbfc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a5d3-3c0d-4181-bd7a-3887e22d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5403A-029A-4778-8325-6ABDA37D2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27d65-5291-42f7-9501-719d6cbfc1d1"/>
    <ds:schemaRef ds:uri="f2d8a5d3-3c0d-4181-bd7a-3887e22d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730C2-22DF-44CC-8F9B-51C820E72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53031-3900-411F-8564-841F5BB43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963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ADCE Word Base Template</dc:title>
  <dc:subject/>
  <dc:creator>Joana Antunes</dc:creator>
  <cp:keywords>ADCE Word Base Template</cp:keywords>
  <dc:description/>
  <cp:lastModifiedBy>Joana Antunes</cp:lastModifiedBy>
  <cp:revision>1</cp:revision>
  <dcterms:created xsi:type="dcterms:W3CDTF">2025-07-03T14:28:00Z</dcterms:created>
  <dcterms:modified xsi:type="dcterms:W3CDTF">2025-07-03T14:38:00Z</dcterms:modified>
</cp:coreProperties>
</file>